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DC7" w:rsidRPr="00FB7659" w:rsidRDefault="00FC6DC7" w:rsidP="00FC6DC7">
      <w:pPr>
        <w:rPr>
          <w:rFonts w:ascii="Arial" w:hAnsi="Arial" w:cs="Arial"/>
          <w:b/>
          <w:u w:val="single"/>
        </w:rPr>
      </w:pPr>
    </w:p>
    <w:p w:rsidR="005E40BD" w:rsidRPr="00FB7659" w:rsidRDefault="005E40BD" w:rsidP="005E40BD">
      <w:pPr>
        <w:jc w:val="center"/>
        <w:rPr>
          <w:rFonts w:ascii="Arial" w:hAnsi="Arial" w:cs="Arial"/>
          <w:b/>
          <w:u w:val="single"/>
        </w:rPr>
      </w:pPr>
      <w:r w:rsidRPr="00FB7659">
        <w:rPr>
          <w:rFonts w:ascii="Arial" w:hAnsi="Arial" w:cs="Arial"/>
          <w:b/>
          <w:u w:val="single"/>
        </w:rPr>
        <w:t>PARECER JURÍDICO</w:t>
      </w:r>
    </w:p>
    <w:p w:rsidR="00C12B37" w:rsidRPr="00FB7659" w:rsidRDefault="00C12B37" w:rsidP="005E40BD">
      <w:pPr>
        <w:jc w:val="center"/>
        <w:rPr>
          <w:rFonts w:ascii="Arial" w:hAnsi="Arial" w:cs="Arial"/>
          <w:b/>
          <w:u w:val="single"/>
        </w:rPr>
      </w:pPr>
    </w:p>
    <w:p w:rsidR="005E40BD" w:rsidRPr="00FB7659" w:rsidRDefault="00EC5462" w:rsidP="005E40BD">
      <w:pPr>
        <w:ind w:left="3686"/>
        <w:jc w:val="both"/>
        <w:rPr>
          <w:rFonts w:ascii="Arial" w:hAnsi="Arial" w:cs="Arial"/>
          <w:i/>
        </w:rPr>
      </w:pPr>
      <w:r w:rsidRPr="00FB7659">
        <w:rPr>
          <w:rFonts w:ascii="Arial" w:hAnsi="Arial" w:cs="Arial"/>
          <w:i/>
        </w:rPr>
        <w:t xml:space="preserve">Parecer Jurídico </w:t>
      </w:r>
      <w:r w:rsidR="00E3490C">
        <w:rPr>
          <w:rFonts w:ascii="Arial" w:hAnsi="Arial" w:cs="Arial"/>
          <w:i/>
        </w:rPr>
        <w:t>–</w:t>
      </w:r>
      <w:r w:rsidRPr="00FB7659">
        <w:rPr>
          <w:rFonts w:ascii="Arial" w:hAnsi="Arial" w:cs="Arial"/>
          <w:i/>
        </w:rPr>
        <w:t xml:space="preserve"> </w:t>
      </w:r>
      <w:r w:rsidR="005F28F4">
        <w:rPr>
          <w:rFonts w:ascii="Arial" w:hAnsi="Arial" w:cs="Arial"/>
          <w:i/>
        </w:rPr>
        <w:t>INEXIGIBILIDADE</w:t>
      </w:r>
      <w:r w:rsidR="005E40BD" w:rsidRPr="00FB7659">
        <w:rPr>
          <w:rFonts w:ascii="Arial" w:hAnsi="Arial" w:cs="Arial"/>
          <w:i/>
        </w:rPr>
        <w:t>.</w:t>
      </w:r>
    </w:p>
    <w:p w:rsidR="005E40BD" w:rsidRPr="00FB7659" w:rsidRDefault="005E40BD" w:rsidP="005E40BD">
      <w:pPr>
        <w:ind w:left="3686"/>
        <w:jc w:val="both"/>
        <w:rPr>
          <w:rFonts w:ascii="Arial" w:hAnsi="Arial" w:cs="Arial"/>
          <w:i/>
        </w:rPr>
      </w:pPr>
    </w:p>
    <w:p w:rsidR="005E40BD" w:rsidRPr="00FB7659" w:rsidRDefault="005E40BD" w:rsidP="005E40BD">
      <w:pPr>
        <w:jc w:val="both"/>
        <w:rPr>
          <w:rFonts w:ascii="Arial" w:hAnsi="Arial" w:cs="Arial"/>
        </w:rPr>
      </w:pPr>
      <w:r w:rsidRPr="00FB7659">
        <w:rPr>
          <w:rFonts w:ascii="Arial" w:hAnsi="Arial" w:cs="Arial"/>
          <w:b/>
        </w:rPr>
        <w:t>Consulente</w:t>
      </w:r>
      <w:r w:rsidRPr="00FB7659">
        <w:rPr>
          <w:rFonts w:ascii="Arial" w:hAnsi="Arial" w:cs="Arial"/>
        </w:rPr>
        <w:t>: Comissão Permanente de Licitação.</w:t>
      </w:r>
    </w:p>
    <w:p w:rsidR="005E40BD" w:rsidRPr="00FB7659" w:rsidRDefault="005E40BD" w:rsidP="005E40BD">
      <w:pPr>
        <w:jc w:val="both"/>
        <w:rPr>
          <w:rFonts w:ascii="Arial" w:hAnsi="Arial" w:cs="Arial"/>
        </w:rPr>
      </w:pPr>
      <w:r w:rsidRPr="00FB7659">
        <w:rPr>
          <w:rFonts w:ascii="Arial" w:hAnsi="Arial" w:cs="Arial"/>
          <w:b/>
        </w:rPr>
        <w:t>Assunto</w:t>
      </w:r>
      <w:r w:rsidRPr="00FB7659">
        <w:rPr>
          <w:rFonts w:ascii="Arial" w:hAnsi="Arial" w:cs="Arial"/>
        </w:rPr>
        <w:t xml:space="preserve">: </w:t>
      </w:r>
      <w:r w:rsidR="005F28F4">
        <w:rPr>
          <w:rFonts w:ascii="Arial" w:hAnsi="Arial" w:cs="Arial"/>
        </w:rPr>
        <w:t>Modalidade de Licitação</w:t>
      </w:r>
    </w:p>
    <w:p w:rsidR="005E40BD" w:rsidRPr="00FB7659" w:rsidRDefault="005E40BD" w:rsidP="005E40BD">
      <w:pPr>
        <w:jc w:val="both"/>
        <w:rPr>
          <w:rFonts w:ascii="Arial" w:hAnsi="Arial" w:cs="Arial"/>
        </w:rPr>
      </w:pPr>
      <w:r w:rsidRPr="00FB7659">
        <w:rPr>
          <w:rFonts w:ascii="Arial" w:hAnsi="Arial" w:cs="Arial"/>
          <w:b/>
        </w:rPr>
        <w:t>Referência</w:t>
      </w:r>
      <w:r w:rsidRPr="00FB7659">
        <w:rPr>
          <w:rFonts w:ascii="Arial" w:hAnsi="Arial" w:cs="Arial"/>
        </w:rPr>
        <w:t xml:space="preserve">: </w:t>
      </w:r>
      <w:r w:rsidR="005F28F4">
        <w:rPr>
          <w:rFonts w:ascii="Arial" w:hAnsi="Arial" w:cs="Arial"/>
        </w:rPr>
        <w:t>Inexigibilidade</w:t>
      </w:r>
      <w:r w:rsidRPr="00FB7659">
        <w:rPr>
          <w:rFonts w:ascii="Arial" w:hAnsi="Arial" w:cs="Arial"/>
        </w:rPr>
        <w:t xml:space="preserve"> 00</w:t>
      </w:r>
      <w:r w:rsidR="005F28F4">
        <w:rPr>
          <w:rFonts w:ascii="Arial" w:hAnsi="Arial" w:cs="Arial"/>
        </w:rPr>
        <w:t>3</w:t>
      </w:r>
      <w:r w:rsidRPr="00FB7659">
        <w:rPr>
          <w:rFonts w:ascii="Arial" w:hAnsi="Arial" w:cs="Arial"/>
        </w:rPr>
        <w:t>/2018.</w:t>
      </w:r>
    </w:p>
    <w:p w:rsidR="005E40BD" w:rsidRDefault="005E40BD" w:rsidP="005E40BD">
      <w:pPr>
        <w:ind w:firstLine="708"/>
        <w:jc w:val="both"/>
        <w:rPr>
          <w:rFonts w:ascii="Arial" w:hAnsi="Arial" w:cs="Arial"/>
        </w:rPr>
      </w:pPr>
      <w:r w:rsidRPr="00FB7659">
        <w:rPr>
          <w:rFonts w:ascii="Arial" w:hAnsi="Arial" w:cs="Arial"/>
        </w:rPr>
        <w:t xml:space="preserve">A Assessoria Jurídica da Prefeitura Municipal de Palmeira - SC, no uso de suas atribuições, principalmente as contidas na Lei n° 8.666, de 21 de junho de 1993, notadamente o art. 38, VI e Parágrafo único; e demais legislação pertinente, emite o presente PARECER JURIDICO </w:t>
      </w:r>
      <w:r w:rsidR="005F28F4">
        <w:rPr>
          <w:rFonts w:ascii="Arial" w:hAnsi="Arial" w:cs="Arial"/>
        </w:rPr>
        <w:t>referente ao</w:t>
      </w:r>
      <w:r w:rsidR="00E3490C">
        <w:rPr>
          <w:rFonts w:ascii="Arial" w:hAnsi="Arial" w:cs="Arial"/>
        </w:rPr>
        <w:t xml:space="preserve"> processo licitatório na modalidade </w:t>
      </w:r>
      <w:r w:rsidR="005F28F4">
        <w:rPr>
          <w:rFonts w:ascii="Arial" w:hAnsi="Arial" w:cs="Arial"/>
        </w:rPr>
        <w:t xml:space="preserve">inexigibilidade </w:t>
      </w:r>
      <w:r w:rsidR="00E3490C">
        <w:rPr>
          <w:rFonts w:ascii="Arial" w:hAnsi="Arial" w:cs="Arial"/>
        </w:rPr>
        <w:t>0</w:t>
      </w:r>
      <w:r w:rsidR="005F28F4">
        <w:rPr>
          <w:rFonts w:ascii="Arial" w:hAnsi="Arial" w:cs="Arial"/>
        </w:rPr>
        <w:t>3</w:t>
      </w:r>
      <w:r w:rsidR="00E3490C">
        <w:rPr>
          <w:rFonts w:ascii="Arial" w:hAnsi="Arial" w:cs="Arial"/>
        </w:rPr>
        <w:t>/2018</w:t>
      </w:r>
      <w:r w:rsidRPr="00FB7659">
        <w:rPr>
          <w:rFonts w:ascii="Arial" w:hAnsi="Arial" w:cs="Arial"/>
        </w:rPr>
        <w:t>:</w:t>
      </w:r>
    </w:p>
    <w:p w:rsidR="005F28F4" w:rsidRPr="005F28F4" w:rsidRDefault="005F28F4" w:rsidP="005F28F4">
      <w:pPr>
        <w:ind w:firstLine="708"/>
        <w:jc w:val="both"/>
        <w:rPr>
          <w:rFonts w:ascii="Arial" w:hAnsi="Arial" w:cs="Arial"/>
        </w:rPr>
      </w:pPr>
      <w:r w:rsidRPr="005F28F4">
        <w:rPr>
          <w:rFonts w:ascii="Arial" w:hAnsi="Arial" w:cs="Arial"/>
        </w:rPr>
        <w:t>Trata-se de contratação com inviabilidade de seleção de proposta mais vantajosa através de critérios objetivos, consistentes no esforço humano, de difícil comparação.</w:t>
      </w:r>
    </w:p>
    <w:p w:rsidR="005F28F4" w:rsidRPr="005F28F4" w:rsidRDefault="005F28F4" w:rsidP="005F28F4">
      <w:pPr>
        <w:ind w:firstLine="708"/>
        <w:jc w:val="both"/>
        <w:rPr>
          <w:rFonts w:ascii="Arial" w:hAnsi="Arial" w:cs="Arial"/>
        </w:rPr>
      </w:pPr>
      <w:r w:rsidRPr="005F28F4">
        <w:rPr>
          <w:rFonts w:ascii="Arial" w:hAnsi="Arial" w:cs="Arial"/>
        </w:rPr>
        <w:t xml:space="preserve">Neste diapasão, para que haja licitude da contratação arrimada no dispositivo legal supramencionada </w:t>
      </w:r>
      <w:proofErr w:type="gramStart"/>
      <w:r w:rsidRPr="005F28F4">
        <w:rPr>
          <w:rFonts w:ascii="Arial" w:hAnsi="Arial" w:cs="Arial"/>
        </w:rPr>
        <w:t>deve-se</w:t>
      </w:r>
      <w:proofErr w:type="gramEnd"/>
      <w:r w:rsidRPr="005F28F4">
        <w:rPr>
          <w:rFonts w:ascii="Arial" w:hAnsi="Arial" w:cs="Arial"/>
        </w:rPr>
        <w:t xml:space="preserve"> atender três requisitos, simultaneamente:</w:t>
      </w:r>
    </w:p>
    <w:p w:rsidR="005F28F4" w:rsidRPr="005F28F4" w:rsidRDefault="005F28F4" w:rsidP="005F28F4">
      <w:pPr>
        <w:ind w:firstLine="708"/>
        <w:jc w:val="both"/>
        <w:rPr>
          <w:rFonts w:ascii="Arial" w:hAnsi="Arial" w:cs="Arial"/>
        </w:rPr>
      </w:pPr>
      <w:r w:rsidRPr="005F28F4">
        <w:rPr>
          <w:rFonts w:ascii="Arial" w:hAnsi="Arial" w:cs="Arial"/>
        </w:rPr>
        <w:t>a) Serviços técnicos enumerados no artigo 13 da Lei 8666/93;</w:t>
      </w:r>
    </w:p>
    <w:p w:rsidR="005F28F4" w:rsidRPr="005F28F4" w:rsidRDefault="005F28F4" w:rsidP="005F28F4">
      <w:pPr>
        <w:ind w:firstLine="708"/>
        <w:jc w:val="both"/>
        <w:rPr>
          <w:rFonts w:ascii="Arial" w:hAnsi="Arial" w:cs="Arial"/>
        </w:rPr>
      </w:pPr>
      <w:r w:rsidRPr="005F28F4">
        <w:rPr>
          <w:rFonts w:ascii="Arial" w:hAnsi="Arial" w:cs="Arial"/>
        </w:rPr>
        <w:t>b) Serviço deve ter natureza singular, incomum;</w:t>
      </w:r>
    </w:p>
    <w:p w:rsidR="005F28F4" w:rsidRPr="005F28F4" w:rsidRDefault="005F28F4" w:rsidP="005F28F4">
      <w:pPr>
        <w:ind w:firstLine="708"/>
        <w:jc w:val="both"/>
        <w:rPr>
          <w:rFonts w:ascii="Arial" w:hAnsi="Arial" w:cs="Arial"/>
        </w:rPr>
      </w:pPr>
      <w:r w:rsidRPr="005F28F4">
        <w:rPr>
          <w:rFonts w:ascii="Arial" w:hAnsi="Arial" w:cs="Arial"/>
        </w:rPr>
        <w:t>c) Profissionais ou empresa deve deter notória especialização;</w:t>
      </w:r>
    </w:p>
    <w:p w:rsidR="005F28F4" w:rsidRPr="005F28F4" w:rsidRDefault="005F28F4" w:rsidP="005F28F4">
      <w:pPr>
        <w:ind w:firstLine="708"/>
        <w:jc w:val="both"/>
        <w:rPr>
          <w:rFonts w:ascii="Arial" w:hAnsi="Arial" w:cs="Arial"/>
        </w:rPr>
      </w:pPr>
      <w:r w:rsidRPr="005F28F4">
        <w:rPr>
          <w:rFonts w:ascii="Arial" w:hAnsi="Arial" w:cs="Arial"/>
        </w:rPr>
        <w:t xml:space="preserve">O jurista Marçal </w:t>
      </w:r>
      <w:proofErr w:type="spellStart"/>
      <w:r w:rsidRPr="005F28F4">
        <w:rPr>
          <w:rFonts w:ascii="Arial" w:hAnsi="Arial" w:cs="Arial"/>
        </w:rPr>
        <w:t>Justen</w:t>
      </w:r>
      <w:proofErr w:type="spellEnd"/>
      <w:r w:rsidRPr="005F28F4">
        <w:rPr>
          <w:rFonts w:ascii="Arial" w:hAnsi="Arial" w:cs="Arial"/>
        </w:rPr>
        <w:t xml:space="preserve"> filho corrobora ao afirmar que a “inexigibilidade apenas se configura diante da presença cumulativa dos três requisitos” (in Comentários à Lei de Licitações e Contratos Administrativos, 14º Ed, São Paulo: Dialética, 2010, p. 367).</w:t>
      </w:r>
    </w:p>
    <w:p w:rsidR="005F28F4" w:rsidRPr="005F28F4" w:rsidRDefault="005F28F4" w:rsidP="005F28F4">
      <w:pPr>
        <w:ind w:firstLine="708"/>
        <w:jc w:val="both"/>
        <w:rPr>
          <w:rFonts w:ascii="Arial" w:hAnsi="Arial" w:cs="Arial"/>
        </w:rPr>
      </w:pPr>
      <w:proofErr w:type="gramStart"/>
      <w:r w:rsidRPr="005F28F4">
        <w:rPr>
          <w:rFonts w:ascii="Arial" w:hAnsi="Arial" w:cs="Arial"/>
        </w:rPr>
        <w:t>Outrossim</w:t>
      </w:r>
      <w:proofErr w:type="gramEnd"/>
      <w:r w:rsidRPr="005F28F4">
        <w:rPr>
          <w:rFonts w:ascii="Arial" w:hAnsi="Arial" w:cs="Arial"/>
        </w:rPr>
        <w:t>, o STJ através do Ministro Herman Benjamin também estabelece tal determinação:</w:t>
      </w:r>
    </w:p>
    <w:p w:rsidR="005F28F4" w:rsidRPr="005F28F4" w:rsidRDefault="005F28F4" w:rsidP="005F28F4">
      <w:pPr>
        <w:ind w:firstLine="708"/>
        <w:jc w:val="both"/>
        <w:rPr>
          <w:rFonts w:ascii="Arial" w:hAnsi="Arial" w:cs="Arial"/>
        </w:rPr>
      </w:pPr>
      <w:r w:rsidRPr="005F28F4">
        <w:rPr>
          <w:rFonts w:ascii="Arial" w:hAnsi="Arial" w:cs="Arial"/>
        </w:rPr>
        <w:t>“Contudo, a inexigibilidade da licitação, nos termos do art. 25, II, da Lei 8.666/1993, pressupõe a presença concomitante dos seguintes requisitos: a) serviço técnico listado no art.13; b) profissional (pessoa física) ou empresa de notória especialização; c) natureza singular do serviço a ser prestado.” (</w:t>
      </w:r>
      <w:proofErr w:type="spellStart"/>
      <w:proofErr w:type="gramStart"/>
      <w:r w:rsidRPr="005F28F4">
        <w:rPr>
          <w:rFonts w:ascii="Arial" w:hAnsi="Arial" w:cs="Arial"/>
        </w:rPr>
        <w:t>REsp</w:t>
      </w:r>
      <w:proofErr w:type="spellEnd"/>
      <w:proofErr w:type="gramEnd"/>
      <w:r w:rsidRPr="005F28F4">
        <w:rPr>
          <w:rFonts w:ascii="Arial" w:hAnsi="Arial" w:cs="Arial"/>
        </w:rPr>
        <w:t xml:space="preserve"> nº 942.412/SP, 2ª T., rel. Min. Herman Benjamin, j. em 28.10.2008, </w:t>
      </w:r>
      <w:proofErr w:type="spellStart"/>
      <w:r w:rsidRPr="005F28F4">
        <w:rPr>
          <w:rFonts w:ascii="Arial" w:hAnsi="Arial" w:cs="Arial"/>
        </w:rPr>
        <w:t>DJe</w:t>
      </w:r>
      <w:proofErr w:type="spellEnd"/>
      <w:r w:rsidRPr="005F28F4">
        <w:rPr>
          <w:rFonts w:ascii="Arial" w:hAnsi="Arial" w:cs="Arial"/>
        </w:rPr>
        <w:t xml:space="preserve"> de 9.03.2009)</w:t>
      </w:r>
    </w:p>
    <w:p w:rsidR="005F28F4" w:rsidRPr="005F28F4" w:rsidRDefault="005F28F4" w:rsidP="005F28F4">
      <w:pPr>
        <w:ind w:firstLine="708"/>
        <w:jc w:val="both"/>
        <w:rPr>
          <w:rFonts w:ascii="Arial" w:hAnsi="Arial" w:cs="Arial"/>
        </w:rPr>
      </w:pPr>
      <w:r w:rsidRPr="005F28F4">
        <w:rPr>
          <w:rFonts w:ascii="Arial" w:hAnsi="Arial" w:cs="Arial"/>
        </w:rPr>
        <w:t xml:space="preserve">Posto isto, um passo adiante, passamos a observar os serviços </w:t>
      </w:r>
      <w:proofErr w:type="gramStart"/>
      <w:r w:rsidRPr="005F28F4">
        <w:rPr>
          <w:rFonts w:ascii="Arial" w:hAnsi="Arial" w:cs="Arial"/>
        </w:rPr>
        <w:t>técnicos elencados no artigo 13 ora mencionado</w:t>
      </w:r>
      <w:proofErr w:type="gramEnd"/>
      <w:r w:rsidRPr="005F28F4">
        <w:rPr>
          <w:rFonts w:ascii="Arial" w:hAnsi="Arial" w:cs="Arial"/>
        </w:rPr>
        <w:t>:</w:t>
      </w:r>
    </w:p>
    <w:p w:rsidR="005F28F4" w:rsidRPr="005F28F4" w:rsidRDefault="005F28F4" w:rsidP="005F28F4">
      <w:pPr>
        <w:ind w:firstLine="708"/>
        <w:jc w:val="both"/>
        <w:rPr>
          <w:rFonts w:ascii="Arial" w:hAnsi="Arial" w:cs="Arial"/>
        </w:rPr>
      </w:pPr>
      <w:r w:rsidRPr="005F28F4">
        <w:rPr>
          <w:rFonts w:ascii="Arial" w:hAnsi="Arial" w:cs="Arial"/>
        </w:rPr>
        <w:t>Art. 13.  Para os fins desta Lei, consideram-se serviços técnicos profissionais especializados os trabalhos relativos a:</w:t>
      </w:r>
    </w:p>
    <w:p w:rsidR="005F28F4" w:rsidRPr="005F28F4" w:rsidRDefault="005F28F4" w:rsidP="005F28F4">
      <w:pPr>
        <w:ind w:firstLine="708"/>
        <w:jc w:val="both"/>
        <w:rPr>
          <w:rFonts w:ascii="Arial" w:hAnsi="Arial" w:cs="Arial"/>
        </w:rPr>
      </w:pPr>
      <w:r w:rsidRPr="005F28F4">
        <w:rPr>
          <w:rFonts w:ascii="Arial" w:hAnsi="Arial" w:cs="Arial"/>
        </w:rPr>
        <w:t>I – estudos técnicos, planejamentos e projetos básicos ou executivos;</w:t>
      </w:r>
    </w:p>
    <w:p w:rsidR="005F28F4" w:rsidRPr="005F28F4" w:rsidRDefault="005F28F4" w:rsidP="005F28F4">
      <w:pPr>
        <w:ind w:firstLine="708"/>
        <w:jc w:val="both"/>
        <w:rPr>
          <w:rFonts w:ascii="Arial" w:hAnsi="Arial" w:cs="Arial"/>
        </w:rPr>
      </w:pPr>
      <w:r w:rsidRPr="005F28F4">
        <w:rPr>
          <w:rFonts w:ascii="Arial" w:hAnsi="Arial" w:cs="Arial"/>
        </w:rPr>
        <w:t>II – pareceres, perícias e avaliações em geral;</w:t>
      </w:r>
    </w:p>
    <w:p w:rsidR="005F28F4" w:rsidRPr="005F28F4" w:rsidRDefault="005F28F4" w:rsidP="005F28F4">
      <w:pPr>
        <w:ind w:firstLine="708"/>
        <w:jc w:val="both"/>
        <w:rPr>
          <w:rFonts w:ascii="Arial" w:hAnsi="Arial" w:cs="Arial"/>
        </w:rPr>
      </w:pPr>
      <w:r w:rsidRPr="005F28F4">
        <w:rPr>
          <w:rFonts w:ascii="Arial" w:hAnsi="Arial" w:cs="Arial"/>
        </w:rPr>
        <w:t>III – assessorias ou consultorias técnicas e auditorias financeiras ou tributárias;</w:t>
      </w:r>
    </w:p>
    <w:p w:rsidR="005F28F4" w:rsidRPr="005F28F4" w:rsidRDefault="005F28F4" w:rsidP="005F28F4">
      <w:pPr>
        <w:ind w:firstLine="708"/>
        <w:jc w:val="both"/>
        <w:rPr>
          <w:rFonts w:ascii="Arial" w:hAnsi="Arial" w:cs="Arial"/>
        </w:rPr>
      </w:pPr>
      <w:r w:rsidRPr="005F28F4">
        <w:rPr>
          <w:rFonts w:ascii="Arial" w:hAnsi="Arial" w:cs="Arial"/>
        </w:rPr>
        <w:lastRenderedPageBreak/>
        <w:t>IV – fiscalização, supervisão ou gerenciamento de obras ou serviços;</w:t>
      </w:r>
    </w:p>
    <w:p w:rsidR="005F28F4" w:rsidRPr="005F28F4" w:rsidRDefault="005F28F4" w:rsidP="005F28F4">
      <w:pPr>
        <w:ind w:firstLine="708"/>
        <w:jc w:val="both"/>
        <w:rPr>
          <w:rFonts w:ascii="Arial" w:hAnsi="Arial" w:cs="Arial"/>
        </w:rPr>
      </w:pPr>
      <w:r w:rsidRPr="005F28F4">
        <w:rPr>
          <w:rFonts w:ascii="Arial" w:hAnsi="Arial" w:cs="Arial"/>
        </w:rPr>
        <w:t>V – patrocínio ou defesa de causas judiciais ou administrativas;</w:t>
      </w:r>
    </w:p>
    <w:p w:rsidR="005F28F4" w:rsidRPr="000C729B" w:rsidRDefault="005F28F4" w:rsidP="005F28F4">
      <w:pPr>
        <w:ind w:firstLine="708"/>
        <w:jc w:val="both"/>
        <w:rPr>
          <w:rFonts w:ascii="Arial" w:hAnsi="Arial" w:cs="Arial"/>
          <w:b/>
          <w:u w:val="single"/>
        </w:rPr>
      </w:pPr>
      <w:r w:rsidRPr="000C729B">
        <w:rPr>
          <w:rFonts w:ascii="Arial" w:hAnsi="Arial" w:cs="Arial"/>
          <w:b/>
          <w:u w:val="single"/>
        </w:rPr>
        <w:t>VI – treinamento e aperfeiçoamento de pessoal;</w:t>
      </w:r>
    </w:p>
    <w:p w:rsidR="005F28F4" w:rsidRPr="005F28F4" w:rsidRDefault="005F28F4" w:rsidP="005F28F4">
      <w:pPr>
        <w:ind w:firstLine="708"/>
        <w:jc w:val="both"/>
        <w:rPr>
          <w:rFonts w:ascii="Arial" w:hAnsi="Arial" w:cs="Arial"/>
        </w:rPr>
      </w:pPr>
      <w:r w:rsidRPr="005F28F4">
        <w:rPr>
          <w:rFonts w:ascii="Arial" w:hAnsi="Arial" w:cs="Arial"/>
        </w:rPr>
        <w:t>VII – restauração de obras de arte e bens de valor histórico. (Grifo e negrito nosso)</w:t>
      </w:r>
    </w:p>
    <w:p w:rsidR="005F28F4" w:rsidRPr="005F28F4" w:rsidRDefault="005F28F4" w:rsidP="005F28F4">
      <w:pPr>
        <w:ind w:firstLine="708"/>
        <w:jc w:val="both"/>
        <w:rPr>
          <w:rFonts w:ascii="Arial" w:hAnsi="Arial" w:cs="Arial"/>
        </w:rPr>
      </w:pPr>
      <w:r w:rsidRPr="005F28F4">
        <w:rPr>
          <w:rFonts w:ascii="Arial" w:hAnsi="Arial" w:cs="Arial"/>
        </w:rPr>
        <w:t xml:space="preserve">Observe-se que </w:t>
      </w:r>
      <w:proofErr w:type="gramStart"/>
      <w:r w:rsidRPr="005F28F4">
        <w:rPr>
          <w:rFonts w:ascii="Arial" w:hAnsi="Arial" w:cs="Arial"/>
        </w:rPr>
        <w:t>o inciso VI</w:t>
      </w:r>
      <w:proofErr w:type="gramEnd"/>
      <w:r w:rsidRPr="005F28F4">
        <w:rPr>
          <w:rFonts w:ascii="Arial" w:hAnsi="Arial" w:cs="Arial"/>
        </w:rPr>
        <w:t xml:space="preserve"> é taxativo caracterizando o capacitação do agente público como um serviço técnico profissional especializado, preenchendo o primeiro requisito.</w:t>
      </w:r>
    </w:p>
    <w:p w:rsidR="005F28F4" w:rsidRPr="005F28F4" w:rsidRDefault="005F28F4" w:rsidP="005F28F4">
      <w:pPr>
        <w:ind w:firstLine="708"/>
        <w:jc w:val="both"/>
        <w:rPr>
          <w:rFonts w:ascii="Arial" w:hAnsi="Arial" w:cs="Arial"/>
        </w:rPr>
      </w:pPr>
      <w:r w:rsidRPr="005F28F4">
        <w:rPr>
          <w:rFonts w:ascii="Arial" w:hAnsi="Arial" w:cs="Arial"/>
        </w:rPr>
        <w:t xml:space="preserve">Próxima análise é quanto à natureza singular do serviço, no qual o conceito é relativo. A singularidade não é a falta de pluralidade de profissionais ou empresas para </w:t>
      </w:r>
      <w:proofErr w:type="gramStart"/>
      <w:r w:rsidRPr="005F28F4">
        <w:rPr>
          <w:rFonts w:ascii="Arial" w:hAnsi="Arial" w:cs="Arial"/>
        </w:rPr>
        <w:t>a exercer</w:t>
      </w:r>
      <w:proofErr w:type="gramEnd"/>
      <w:r w:rsidRPr="005F28F4">
        <w:rPr>
          <w:rFonts w:ascii="Arial" w:hAnsi="Arial" w:cs="Arial"/>
        </w:rPr>
        <w:t xml:space="preserve"> determinada função e sim de características especiais.</w:t>
      </w:r>
    </w:p>
    <w:p w:rsidR="005F28F4" w:rsidRPr="005F28F4" w:rsidRDefault="005F28F4" w:rsidP="005F28F4">
      <w:pPr>
        <w:ind w:firstLine="708"/>
        <w:jc w:val="both"/>
        <w:rPr>
          <w:rFonts w:ascii="Arial" w:hAnsi="Arial" w:cs="Arial"/>
        </w:rPr>
      </w:pPr>
      <w:r w:rsidRPr="005F28F4">
        <w:rPr>
          <w:rFonts w:ascii="Arial" w:hAnsi="Arial" w:cs="Arial"/>
        </w:rPr>
        <w:t>A capacitação do agente público se enquadra na natureza singular</w:t>
      </w:r>
      <w:proofErr w:type="gramStart"/>
      <w:r w:rsidRPr="005F28F4">
        <w:rPr>
          <w:rFonts w:ascii="Arial" w:hAnsi="Arial" w:cs="Arial"/>
        </w:rPr>
        <w:t xml:space="preserve"> pois</w:t>
      </w:r>
      <w:proofErr w:type="gramEnd"/>
      <w:r w:rsidRPr="005F28F4">
        <w:rPr>
          <w:rFonts w:ascii="Arial" w:hAnsi="Arial" w:cs="Arial"/>
        </w:rPr>
        <w:t xml:space="preserve"> é executada por pessoa física cuja produção é intelectual que possui característica de personalismo inconfundível.</w:t>
      </w:r>
    </w:p>
    <w:p w:rsidR="005F28F4" w:rsidRPr="005F28F4" w:rsidRDefault="005F28F4" w:rsidP="005F28F4">
      <w:pPr>
        <w:ind w:firstLine="708"/>
        <w:jc w:val="both"/>
        <w:rPr>
          <w:rFonts w:ascii="Arial" w:hAnsi="Arial" w:cs="Arial"/>
        </w:rPr>
      </w:pPr>
      <w:r w:rsidRPr="005F28F4">
        <w:rPr>
          <w:rFonts w:ascii="Arial" w:hAnsi="Arial" w:cs="Arial"/>
        </w:rPr>
        <w:t>O jurista Antônio Carlos Cintra do Amaral, de forma muito sapiente, esclarece a singularidade para o serviço de capacitação de servidores públicos:</w:t>
      </w:r>
    </w:p>
    <w:p w:rsidR="005F28F4" w:rsidRPr="005F28F4" w:rsidRDefault="005F28F4" w:rsidP="005F28F4">
      <w:pPr>
        <w:ind w:firstLine="708"/>
        <w:jc w:val="both"/>
        <w:rPr>
          <w:rFonts w:ascii="Arial" w:hAnsi="Arial" w:cs="Arial"/>
        </w:rPr>
      </w:pPr>
      <w:proofErr w:type="gramStart"/>
      <w:r w:rsidRPr="005F28F4">
        <w:rPr>
          <w:rFonts w:ascii="Arial" w:hAnsi="Arial" w:cs="Arial"/>
        </w:rPr>
        <w:t>“A singularidade reside em que dessa ou dessas pessoas físicas (instrutores ou docentes) requer-se:</w:t>
      </w:r>
    </w:p>
    <w:p w:rsidR="005F28F4" w:rsidRPr="005F28F4" w:rsidRDefault="005F28F4" w:rsidP="005F28F4">
      <w:pPr>
        <w:ind w:firstLine="708"/>
        <w:jc w:val="both"/>
        <w:rPr>
          <w:rFonts w:ascii="Arial" w:hAnsi="Arial" w:cs="Arial"/>
        </w:rPr>
      </w:pPr>
      <w:proofErr w:type="gramEnd"/>
      <w:r w:rsidRPr="005F28F4">
        <w:rPr>
          <w:rFonts w:ascii="Arial" w:hAnsi="Arial" w:cs="Arial"/>
        </w:rPr>
        <w:t xml:space="preserve"> a) experiência;</w:t>
      </w:r>
    </w:p>
    <w:p w:rsidR="005F28F4" w:rsidRPr="005F28F4" w:rsidRDefault="005F28F4" w:rsidP="005F28F4">
      <w:pPr>
        <w:ind w:firstLine="708"/>
        <w:jc w:val="both"/>
        <w:rPr>
          <w:rFonts w:ascii="Arial" w:hAnsi="Arial" w:cs="Arial"/>
        </w:rPr>
      </w:pPr>
      <w:r w:rsidRPr="005F28F4">
        <w:rPr>
          <w:rFonts w:ascii="Arial" w:hAnsi="Arial" w:cs="Arial"/>
        </w:rPr>
        <w:t xml:space="preserve"> b) domínio do assunto;</w:t>
      </w:r>
    </w:p>
    <w:p w:rsidR="005F28F4" w:rsidRPr="005F28F4" w:rsidRDefault="005F28F4" w:rsidP="005F28F4">
      <w:pPr>
        <w:ind w:firstLine="708"/>
        <w:jc w:val="both"/>
        <w:rPr>
          <w:rFonts w:ascii="Arial" w:hAnsi="Arial" w:cs="Arial"/>
        </w:rPr>
      </w:pPr>
      <w:r w:rsidRPr="005F28F4">
        <w:rPr>
          <w:rFonts w:ascii="Arial" w:hAnsi="Arial" w:cs="Arial"/>
        </w:rPr>
        <w:t xml:space="preserve"> c) didática;</w:t>
      </w:r>
    </w:p>
    <w:p w:rsidR="005F28F4" w:rsidRPr="005F28F4" w:rsidRDefault="005F28F4" w:rsidP="005F28F4">
      <w:pPr>
        <w:ind w:firstLine="708"/>
        <w:jc w:val="both"/>
        <w:rPr>
          <w:rFonts w:ascii="Arial" w:hAnsi="Arial" w:cs="Arial"/>
        </w:rPr>
      </w:pPr>
      <w:r w:rsidRPr="005F28F4">
        <w:rPr>
          <w:rFonts w:ascii="Arial" w:hAnsi="Arial" w:cs="Arial"/>
        </w:rPr>
        <w:t xml:space="preserve"> d) experiência e habilidade na condução de grupos </w:t>
      </w:r>
      <w:proofErr w:type="spellStart"/>
      <w:r w:rsidRPr="005F28F4">
        <w:rPr>
          <w:rFonts w:ascii="Arial" w:hAnsi="Arial" w:cs="Arial"/>
        </w:rPr>
        <w:t>freqüentemente</w:t>
      </w:r>
      <w:proofErr w:type="spellEnd"/>
      <w:r w:rsidRPr="005F28F4">
        <w:rPr>
          <w:rFonts w:ascii="Arial" w:hAnsi="Arial" w:cs="Arial"/>
        </w:rPr>
        <w:t xml:space="preserve"> heterogêneos, inclusive no que se refere à formação profissional;</w:t>
      </w:r>
    </w:p>
    <w:p w:rsidR="005F28F4" w:rsidRPr="005F28F4" w:rsidRDefault="005F28F4" w:rsidP="005F28F4">
      <w:pPr>
        <w:ind w:firstLine="708"/>
        <w:jc w:val="both"/>
        <w:rPr>
          <w:rFonts w:ascii="Arial" w:hAnsi="Arial" w:cs="Arial"/>
        </w:rPr>
      </w:pPr>
      <w:r w:rsidRPr="005F28F4">
        <w:rPr>
          <w:rFonts w:ascii="Arial" w:hAnsi="Arial" w:cs="Arial"/>
        </w:rPr>
        <w:t>e) capacidade de comunicação.</w:t>
      </w:r>
    </w:p>
    <w:p w:rsidR="005F28F4" w:rsidRPr="005F28F4" w:rsidRDefault="005F28F4" w:rsidP="005F28F4">
      <w:pPr>
        <w:ind w:firstLine="708"/>
        <w:jc w:val="both"/>
        <w:rPr>
          <w:rFonts w:ascii="Arial" w:hAnsi="Arial" w:cs="Arial"/>
        </w:rPr>
      </w:pPr>
      <w:r w:rsidRPr="005F28F4">
        <w:rPr>
          <w:rFonts w:ascii="Arial" w:hAnsi="Arial" w:cs="Arial"/>
        </w:rPr>
        <w:t xml:space="preserve"> (…)</w:t>
      </w:r>
    </w:p>
    <w:p w:rsidR="005F28F4" w:rsidRPr="005F28F4" w:rsidRDefault="005F28F4" w:rsidP="005F28F4">
      <w:pPr>
        <w:ind w:firstLine="708"/>
        <w:jc w:val="both"/>
        <w:rPr>
          <w:rFonts w:ascii="Arial" w:hAnsi="Arial" w:cs="Arial"/>
        </w:rPr>
      </w:pPr>
      <w:r w:rsidRPr="005F28F4">
        <w:rPr>
          <w:rFonts w:ascii="Arial" w:hAnsi="Arial" w:cs="Arial"/>
        </w:rPr>
        <w:t xml:space="preserve"> Como não se pode dissociar o treinamento do instrutor ou docente, essa singularidade subjetiva é também objetiva. </w:t>
      </w:r>
      <w:proofErr w:type="gramStart"/>
      <w:r w:rsidRPr="005F28F4">
        <w:rPr>
          <w:rFonts w:ascii="Arial" w:hAnsi="Arial" w:cs="Arial"/>
        </w:rPr>
        <w:t>Vale dizer: também o serviço por ele prestado é singular”</w:t>
      </w:r>
      <w:proofErr w:type="gramEnd"/>
      <w:r w:rsidRPr="005F28F4">
        <w:rPr>
          <w:rFonts w:ascii="Arial" w:hAnsi="Arial" w:cs="Arial"/>
        </w:rPr>
        <w:t xml:space="preserve"> (in Ato Administrativo, Licitações e Contratos Administrativos, 2ª tiragem. São Paulo: Malheiros, 1996, pág. 110)</w:t>
      </w:r>
    </w:p>
    <w:p w:rsidR="005F28F4" w:rsidRPr="005F28F4" w:rsidRDefault="005F28F4" w:rsidP="005F28F4">
      <w:pPr>
        <w:ind w:firstLine="708"/>
        <w:jc w:val="both"/>
        <w:rPr>
          <w:rFonts w:ascii="Arial" w:hAnsi="Arial" w:cs="Arial"/>
        </w:rPr>
      </w:pPr>
      <w:r w:rsidRPr="005F28F4">
        <w:rPr>
          <w:rFonts w:ascii="Arial" w:hAnsi="Arial" w:cs="Arial"/>
        </w:rPr>
        <w:t>Por último e não menos importante deve-se caracterizar a notória especialização sendo que o § 1º do artigo 25</w:t>
      </w:r>
      <w:proofErr w:type="gramStart"/>
      <w:r w:rsidRPr="005F28F4">
        <w:rPr>
          <w:rFonts w:ascii="Arial" w:hAnsi="Arial" w:cs="Arial"/>
        </w:rPr>
        <w:t xml:space="preserve">  </w:t>
      </w:r>
      <w:proofErr w:type="gramEnd"/>
      <w:r w:rsidRPr="005F28F4">
        <w:rPr>
          <w:rFonts w:ascii="Arial" w:hAnsi="Arial" w:cs="Arial"/>
        </w:rPr>
        <w:t>da Lei 8666/93 assim definiu:</w:t>
      </w:r>
    </w:p>
    <w:p w:rsidR="005F28F4" w:rsidRPr="005F28F4" w:rsidRDefault="005F28F4" w:rsidP="005F28F4">
      <w:pPr>
        <w:ind w:firstLine="708"/>
        <w:jc w:val="both"/>
        <w:rPr>
          <w:rFonts w:ascii="Arial" w:hAnsi="Arial" w:cs="Arial"/>
        </w:rPr>
      </w:pPr>
      <w:r w:rsidRPr="005F28F4">
        <w:rPr>
          <w:rFonts w:ascii="Arial" w:hAnsi="Arial" w:cs="Arial"/>
        </w:rPr>
        <w:t>§ 1 o Considera-se de notória especialização o profissional ou empresa cujo conceito no campo de sua especialidade, decorrente de desempenho anterior, estudos, experiências, publicações, organização, aparelhamento, equipe técnica, ou de outros requisitos relacionados com suas atividades, permita inferir que o seu trabalho é essencial e indiscutivelmente o mais adequado à plena satisfação do objeto do contrato.</w:t>
      </w:r>
    </w:p>
    <w:p w:rsidR="005F28F4" w:rsidRPr="005F28F4" w:rsidRDefault="005F28F4" w:rsidP="005F28F4">
      <w:pPr>
        <w:ind w:firstLine="708"/>
        <w:jc w:val="both"/>
        <w:rPr>
          <w:rFonts w:ascii="Arial" w:hAnsi="Arial" w:cs="Arial"/>
        </w:rPr>
      </w:pPr>
      <w:r w:rsidRPr="005F28F4">
        <w:rPr>
          <w:rFonts w:ascii="Arial" w:hAnsi="Arial" w:cs="Arial"/>
        </w:rPr>
        <w:t xml:space="preserve">Primeiramente considero um exagero o termo “indiscutivelmente”, pois é impossível tanta convicção. Veja que o parágrafo em questão elencou elementos hábeis para a Administração identificar a notoriedade: desempenho anterior, estudos, experiências, </w:t>
      </w:r>
      <w:r w:rsidRPr="005F28F4">
        <w:rPr>
          <w:rFonts w:ascii="Arial" w:hAnsi="Arial" w:cs="Arial"/>
        </w:rPr>
        <w:lastRenderedPageBreak/>
        <w:t>publicações, organização, aparelhamento, equipe técnica, ou de outros requisitos relacionados com suas atividades.</w:t>
      </w:r>
    </w:p>
    <w:p w:rsidR="005F28F4" w:rsidRPr="005F28F4" w:rsidRDefault="005F28F4" w:rsidP="005F28F4">
      <w:pPr>
        <w:ind w:firstLine="708"/>
        <w:jc w:val="both"/>
        <w:rPr>
          <w:rFonts w:ascii="Arial" w:hAnsi="Arial" w:cs="Arial"/>
        </w:rPr>
      </w:pPr>
      <w:r w:rsidRPr="005F28F4">
        <w:rPr>
          <w:rFonts w:ascii="Arial" w:hAnsi="Arial" w:cs="Arial"/>
        </w:rPr>
        <w:t>A notoriedade se faz pelo conhecimento da alta capacidade do profissional ou da empresa que possuam currículo satisfatório diante da necessidade da Administração.</w:t>
      </w:r>
    </w:p>
    <w:p w:rsidR="005F28F4" w:rsidRPr="005F28F4" w:rsidRDefault="005F28F4" w:rsidP="005F28F4">
      <w:pPr>
        <w:ind w:firstLine="708"/>
        <w:jc w:val="both"/>
        <w:rPr>
          <w:rFonts w:ascii="Arial" w:hAnsi="Arial" w:cs="Arial"/>
        </w:rPr>
      </w:pPr>
      <w:r w:rsidRPr="005F28F4">
        <w:rPr>
          <w:rFonts w:ascii="Arial" w:hAnsi="Arial" w:cs="Arial"/>
        </w:rPr>
        <w:t>Geralmente a Administração terá alguns profissionais ou empresas aptos para tal realização, profissionais estes de elevada qualificação. A Administração possui margem de discricionariedade para escolher a empresa que mais lhe parecer adequada. Frisa-se que esta discricionariedade tem que possuir sintonia com a necessidade administrativa à qualidade almejada.</w:t>
      </w:r>
    </w:p>
    <w:p w:rsidR="005F28F4" w:rsidRPr="005F28F4" w:rsidRDefault="005F28F4" w:rsidP="005F28F4">
      <w:pPr>
        <w:ind w:firstLine="708"/>
        <w:jc w:val="both"/>
        <w:rPr>
          <w:rFonts w:ascii="Arial" w:hAnsi="Arial" w:cs="Arial"/>
        </w:rPr>
      </w:pPr>
      <w:r w:rsidRPr="005F28F4">
        <w:rPr>
          <w:rFonts w:ascii="Arial" w:hAnsi="Arial" w:cs="Arial"/>
        </w:rPr>
        <w:t>Por fim, concluímos que: A contratação de curso de capacitação para os servidores públicos poderão e em alguns casos deverão ser realizados pelo processo de inexigibilidade</w:t>
      </w:r>
      <w:proofErr w:type="gramStart"/>
      <w:r w:rsidRPr="005F28F4">
        <w:rPr>
          <w:rFonts w:ascii="Arial" w:hAnsi="Arial" w:cs="Arial"/>
        </w:rPr>
        <w:t xml:space="preserve"> pois</w:t>
      </w:r>
      <w:proofErr w:type="gramEnd"/>
      <w:r w:rsidRPr="005F28F4">
        <w:rPr>
          <w:rFonts w:ascii="Arial" w:hAnsi="Arial" w:cs="Arial"/>
        </w:rPr>
        <w:t xml:space="preserve"> configura-se em singularidade do objeto, notória especialização dos profissionais e está elencado no artigo 13 da Lei 8666/93.</w:t>
      </w:r>
    </w:p>
    <w:p w:rsidR="005F28F4" w:rsidRPr="005F28F4" w:rsidRDefault="005F28F4" w:rsidP="005F28F4">
      <w:pPr>
        <w:ind w:firstLine="708"/>
        <w:jc w:val="both"/>
        <w:rPr>
          <w:rFonts w:ascii="Arial" w:hAnsi="Arial" w:cs="Arial"/>
        </w:rPr>
      </w:pPr>
      <w:r w:rsidRPr="005F28F4">
        <w:rPr>
          <w:rFonts w:ascii="Arial" w:hAnsi="Arial" w:cs="Arial"/>
        </w:rPr>
        <w:t xml:space="preserve">Nessa vereda, uma vez preenchido </w:t>
      </w:r>
      <w:proofErr w:type="gramStart"/>
      <w:r w:rsidRPr="005F28F4">
        <w:rPr>
          <w:rFonts w:ascii="Arial" w:hAnsi="Arial" w:cs="Arial"/>
        </w:rPr>
        <w:t>os requisitos acima mencionado</w:t>
      </w:r>
      <w:proofErr w:type="gramEnd"/>
      <w:r w:rsidRPr="005F28F4">
        <w:rPr>
          <w:rFonts w:ascii="Arial" w:hAnsi="Arial" w:cs="Arial"/>
        </w:rPr>
        <w:t xml:space="preserve"> a Administração não poderá realizar a contratação de empresa especializada em capacitação por intermédio de licitação, eis que os profissionais ou empresa são incomparável, inviabilizando a competição. A realização de licitação poderia transportar na aquisição de um serviço de qualidade imprópria.</w:t>
      </w:r>
    </w:p>
    <w:p w:rsidR="005F28F4" w:rsidRPr="005F28F4" w:rsidRDefault="005F28F4" w:rsidP="005F28F4">
      <w:pPr>
        <w:ind w:firstLine="708"/>
        <w:jc w:val="both"/>
        <w:rPr>
          <w:rFonts w:ascii="Arial" w:hAnsi="Arial" w:cs="Arial"/>
        </w:rPr>
      </w:pPr>
      <w:r w:rsidRPr="005F28F4">
        <w:rPr>
          <w:rFonts w:ascii="Arial" w:hAnsi="Arial" w:cs="Arial"/>
        </w:rPr>
        <w:t>Há vasta doutrina e jurisprudência defendendo este posicionamento.</w:t>
      </w:r>
    </w:p>
    <w:p w:rsidR="005F28F4" w:rsidRPr="005F28F4" w:rsidRDefault="005F28F4" w:rsidP="005F28F4">
      <w:pPr>
        <w:ind w:firstLine="708"/>
        <w:jc w:val="both"/>
        <w:rPr>
          <w:rFonts w:ascii="Arial" w:hAnsi="Arial" w:cs="Arial"/>
        </w:rPr>
      </w:pPr>
      <w:r w:rsidRPr="005F28F4">
        <w:rPr>
          <w:rFonts w:ascii="Arial" w:hAnsi="Arial" w:cs="Arial"/>
        </w:rPr>
        <w:t>Novamente, com desenvoltura, o jurista Antônio Carlos Cintra do Amaral versou:</w:t>
      </w:r>
    </w:p>
    <w:p w:rsidR="005F28F4" w:rsidRPr="005F28F4" w:rsidRDefault="005F28F4" w:rsidP="005F28F4">
      <w:pPr>
        <w:ind w:firstLine="708"/>
        <w:jc w:val="both"/>
        <w:rPr>
          <w:rFonts w:ascii="Arial" w:hAnsi="Arial" w:cs="Arial"/>
        </w:rPr>
      </w:pPr>
      <w:r w:rsidRPr="005F28F4">
        <w:rPr>
          <w:rFonts w:ascii="Arial" w:hAnsi="Arial" w:cs="Arial"/>
        </w:rPr>
        <w:t xml:space="preserve">“A administração não pode realizar licitação para treinamento, porque os profissionais e empresas são incomparáveis. Não há, portanto, viabilidade de competição. A adoção do tipo de licitação de “menor preço” conduz, na maioria dos casos, à obtenção de qualidade inadequada. A de “melhor técnica” e a de “técnica e preço” </w:t>
      </w:r>
      <w:proofErr w:type="gramStart"/>
      <w:r w:rsidRPr="005F28F4">
        <w:rPr>
          <w:rFonts w:ascii="Arial" w:hAnsi="Arial" w:cs="Arial"/>
        </w:rPr>
        <w:t>são</w:t>
      </w:r>
      <w:proofErr w:type="gramEnd"/>
      <w:r w:rsidRPr="005F28F4">
        <w:rPr>
          <w:rFonts w:ascii="Arial" w:hAnsi="Arial" w:cs="Arial"/>
        </w:rPr>
        <w:t xml:space="preserve"> inviáveis, porque não se pode cogitar, no caso de apresentação de proposta técnica. A proposta técnica seria, a rigor, o programa e a metodologia, de pouca ou de nenhuma diferenciação. O êxito do treinamento depende, basicamente, dos instrutores ou docentes. Que são incomparáveis, singulares, o que torna inviável a competição.”(in Ato Administrativo, Licitações e Contratos Administrativos, 2ª tiragem. São Paulo: Malheiros, 1996, pág. 111) (Grifo e negrito nosso)</w:t>
      </w:r>
    </w:p>
    <w:p w:rsidR="005F28F4" w:rsidRPr="005F28F4" w:rsidRDefault="005F28F4" w:rsidP="005F28F4">
      <w:pPr>
        <w:ind w:firstLine="708"/>
        <w:jc w:val="both"/>
        <w:rPr>
          <w:rFonts w:ascii="Arial" w:hAnsi="Arial" w:cs="Arial"/>
        </w:rPr>
      </w:pPr>
      <w:proofErr w:type="gramStart"/>
      <w:r w:rsidRPr="005F28F4">
        <w:rPr>
          <w:rFonts w:ascii="Arial" w:hAnsi="Arial" w:cs="Arial"/>
        </w:rPr>
        <w:t xml:space="preserve">O Professor Jorge Ulisses </w:t>
      </w:r>
      <w:proofErr w:type="spellStart"/>
      <w:r w:rsidRPr="005F28F4">
        <w:rPr>
          <w:rFonts w:ascii="Arial" w:hAnsi="Arial" w:cs="Arial"/>
        </w:rPr>
        <w:t>Jacoby</w:t>
      </w:r>
      <w:proofErr w:type="spellEnd"/>
      <w:r w:rsidRPr="005F28F4">
        <w:rPr>
          <w:rFonts w:ascii="Arial" w:hAnsi="Arial" w:cs="Arial"/>
        </w:rPr>
        <w:t xml:space="preserve"> Fernandes, em sua obra Contratação Direta</w:t>
      </w:r>
      <w:proofErr w:type="gramEnd"/>
      <w:r w:rsidRPr="005F28F4">
        <w:rPr>
          <w:rFonts w:ascii="Arial" w:hAnsi="Arial" w:cs="Arial"/>
        </w:rPr>
        <w:t xml:space="preserve"> sem licitação, assim asseverou:</w:t>
      </w:r>
    </w:p>
    <w:p w:rsidR="005F28F4" w:rsidRPr="005F28F4" w:rsidRDefault="005F28F4" w:rsidP="005F28F4">
      <w:pPr>
        <w:ind w:firstLine="708"/>
        <w:jc w:val="both"/>
        <w:rPr>
          <w:rFonts w:ascii="Arial" w:hAnsi="Arial" w:cs="Arial"/>
        </w:rPr>
      </w:pPr>
      <w:r w:rsidRPr="005F28F4">
        <w:rPr>
          <w:rFonts w:ascii="Arial" w:hAnsi="Arial" w:cs="Arial"/>
        </w:rPr>
        <w:t>“A inviabilidade da competição ocorrerá na forma desse inciso se ficar demonstrado o atendimento dos requisitos, que devem ser examinados, na seguinte ordem: a) referentes ao objeto do contrato: que se trate de serviço técnico; a que o serviço esteja elencado no art. 13 da Lei nº 8.666/93; que o serviço apresente determinada singularidade; que o serviço não seja de publicidade ou divulgação; b) referentes ao contratado: que o profissional detenha a habilitação pertinente; que o profissional ou empresa possua especialização na realização do objeto pretendido; que a especialização seja notória; que a notória especialização esteja relacionada com a singularidade pretendida pela Administração.” (in Contratação Direta sem Licitação,</w:t>
      </w:r>
      <w:proofErr w:type="gramStart"/>
      <w:r w:rsidRPr="005F28F4">
        <w:rPr>
          <w:rFonts w:ascii="Arial" w:hAnsi="Arial" w:cs="Arial"/>
        </w:rPr>
        <w:t xml:space="preserve">  </w:t>
      </w:r>
      <w:proofErr w:type="gramEnd"/>
      <w:r w:rsidRPr="005F28F4">
        <w:rPr>
          <w:rFonts w:ascii="Arial" w:hAnsi="Arial" w:cs="Arial"/>
        </w:rPr>
        <w:t xml:space="preserve">9. ed. rev. atual. </w:t>
      </w:r>
      <w:proofErr w:type="spellStart"/>
      <w:r w:rsidRPr="005F28F4">
        <w:rPr>
          <w:rFonts w:ascii="Arial" w:hAnsi="Arial" w:cs="Arial"/>
        </w:rPr>
        <w:t>ampl</w:t>
      </w:r>
      <w:proofErr w:type="spellEnd"/>
      <w:r w:rsidRPr="005F28F4">
        <w:rPr>
          <w:rFonts w:ascii="Arial" w:hAnsi="Arial" w:cs="Arial"/>
        </w:rPr>
        <w:t>. Belo Horizonte: Fórum, 2012.).”</w:t>
      </w:r>
    </w:p>
    <w:p w:rsidR="005F28F4" w:rsidRPr="005F28F4" w:rsidRDefault="005F28F4" w:rsidP="005F28F4">
      <w:pPr>
        <w:ind w:firstLine="708"/>
        <w:jc w:val="both"/>
        <w:rPr>
          <w:rFonts w:ascii="Arial" w:hAnsi="Arial" w:cs="Arial"/>
        </w:rPr>
      </w:pPr>
      <w:r w:rsidRPr="005F28F4">
        <w:rPr>
          <w:rFonts w:ascii="Arial" w:hAnsi="Arial" w:cs="Arial"/>
        </w:rPr>
        <w:t>A egrégia Corte de Contas da União:</w:t>
      </w:r>
    </w:p>
    <w:p w:rsidR="005F28F4" w:rsidRPr="005F28F4" w:rsidRDefault="005F28F4" w:rsidP="005F28F4">
      <w:pPr>
        <w:ind w:firstLine="708"/>
        <w:jc w:val="both"/>
        <w:rPr>
          <w:rFonts w:ascii="Arial" w:hAnsi="Arial" w:cs="Arial"/>
        </w:rPr>
      </w:pPr>
      <w:r w:rsidRPr="005F28F4">
        <w:rPr>
          <w:rFonts w:ascii="Arial" w:hAnsi="Arial" w:cs="Arial"/>
        </w:rPr>
        <w:lastRenderedPageBreak/>
        <w:t xml:space="preserve">“considerar que as contratações de professores, conferencistas ou instrutores para ministrar cursos de treinamento ou aperfeiçoamento de pessoal, bem como a inscrição de servidores para participação de cursos abertos a terceiros, enquadram-se na hipótese de inexigibilidade de licitação prevista no inciso II do art. 25, combinado com o inciso VI do art. 13 da Lei nº 8.666/93” (Processo nº TC 000.830/98-4, rel. Min. Adhemar </w:t>
      </w:r>
      <w:proofErr w:type="spellStart"/>
      <w:r w:rsidRPr="005F28F4">
        <w:rPr>
          <w:rFonts w:ascii="Arial" w:hAnsi="Arial" w:cs="Arial"/>
        </w:rPr>
        <w:t>Paladini</w:t>
      </w:r>
      <w:proofErr w:type="spellEnd"/>
      <w:r w:rsidRPr="005F28F4">
        <w:rPr>
          <w:rFonts w:ascii="Arial" w:hAnsi="Arial" w:cs="Arial"/>
        </w:rPr>
        <w:t xml:space="preserve"> </w:t>
      </w:r>
      <w:proofErr w:type="spellStart"/>
      <w:r w:rsidRPr="005F28F4">
        <w:rPr>
          <w:rFonts w:ascii="Arial" w:hAnsi="Arial" w:cs="Arial"/>
        </w:rPr>
        <w:t>Ghisi</w:t>
      </w:r>
      <w:proofErr w:type="spellEnd"/>
      <w:r w:rsidRPr="005F28F4">
        <w:rPr>
          <w:rFonts w:ascii="Arial" w:hAnsi="Arial" w:cs="Arial"/>
        </w:rPr>
        <w:t>. Decisão n. 439/1998, do Plenário</w:t>
      </w:r>
      <w:proofErr w:type="gramStart"/>
      <w:r w:rsidRPr="005F28F4">
        <w:rPr>
          <w:rFonts w:ascii="Arial" w:hAnsi="Arial" w:cs="Arial"/>
        </w:rPr>
        <w:t>)</w:t>
      </w:r>
      <w:proofErr w:type="gramEnd"/>
    </w:p>
    <w:p w:rsidR="005F28F4" w:rsidRPr="005F28F4" w:rsidRDefault="005F28F4" w:rsidP="005F28F4">
      <w:pPr>
        <w:ind w:firstLine="708"/>
        <w:jc w:val="both"/>
        <w:rPr>
          <w:rFonts w:ascii="Arial" w:hAnsi="Arial" w:cs="Arial"/>
        </w:rPr>
      </w:pPr>
      <w:r w:rsidRPr="005F28F4">
        <w:rPr>
          <w:rFonts w:ascii="Arial" w:hAnsi="Arial" w:cs="Arial"/>
        </w:rPr>
        <w:t xml:space="preserve">AGU: Orientação Normativa nº 18, de 1º de abril de </w:t>
      </w:r>
      <w:proofErr w:type="gramStart"/>
      <w:r w:rsidRPr="005F28F4">
        <w:rPr>
          <w:rFonts w:ascii="Arial" w:hAnsi="Arial" w:cs="Arial"/>
        </w:rPr>
        <w:t>2009</w:t>
      </w:r>
      <w:proofErr w:type="gramEnd"/>
    </w:p>
    <w:p w:rsidR="005F28F4" w:rsidRDefault="005F28F4" w:rsidP="005F28F4">
      <w:pPr>
        <w:ind w:firstLine="708"/>
        <w:jc w:val="both"/>
        <w:rPr>
          <w:rFonts w:ascii="Arial" w:hAnsi="Arial" w:cs="Arial"/>
        </w:rPr>
      </w:pPr>
      <w:r w:rsidRPr="005F28F4">
        <w:rPr>
          <w:rFonts w:ascii="Arial" w:hAnsi="Arial" w:cs="Arial"/>
        </w:rPr>
        <w:t>“Contrata-se por inexigibilidade de licitação com fundamento no art. 25, inc. II, da Lei nº 8.666, de 1993, conferencistas para ministrar cursos para treinamento e aperfeiçoamento de pessoal, ou a inscrição em cursos abertos, desde que caracterizada a singularidade do objeto e verificado tratar-se de notório especialista</w:t>
      </w:r>
      <w:proofErr w:type="gramStart"/>
      <w:r w:rsidRPr="005F28F4">
        <w:rPr>
          <w:rFonts w:ascii="Arial" w:hAnsi="Arial" w:cs="Arial"/>
        </w:rPr>
        <w:t>”</w:t>
      </w:r>
      <w:proofErr w:type="gramEnd"/>
    </w:p>
    <w:p w:rsidR="005F28F4" w:rsidRDefault="005F28F4" w:rsidP="005F28F4">
      <w:pPr>
        <w:ind w:firstLine="708"/>
        <w:jc w:val="both"/>
        <w:rPr>
          <w:rFonts w:ascii="Arial" w:hAnsi="Arial" w:cs="Arial"/>
        </w:rPr>
      </w:pPr>
    </w:p>
    <w:p w:rsidR="005E40BD" w:rsidRPr="00FB7659" w:rsidRDefault="00F87CF7" w:rsidP="00D72D7B">
      <w:pPr>
        <w:ind w:firstLine="708"/>
        <w:jc w:val="both"/>
        <w:rPr>
          <w:rFonts w:ascii="Arial" w:hAnsi="Arial" w:cs="Arial"/>
        </w:rPr>
      </w:pPr>
      <w:r w:rsidRPr="00FB7659">
        <w:rPr>
          <w:rFonts w:ascii="Arial" w:hAnsi="Arial" w:cs="Arial"/>
        </w:rPr>
        <w:t>E</w:t>
      </w:r>
      <w:r w:rsidR="00AA41AF" w:rsidRPr="00FB7659">
        <w:rPr>
          <w:rFonts w:ascii="Arial" w:hAnsi="Arial" w:cs="Arial"/>
        </w:rPr>
        <w:t>sse parecer restringir-se-á tão-somente ao plano da legalidade, cabendo à autoridade competente deliberar acerca da conveniência da licitação.</w:t>
      </w:r>
      <w:r w:rsidR="005E40BD" w:rsidRPr="00FB7659">
        <w:rPr>
          <w:rFonts w:ascii="Arial" w:hAnsi="Arial" w:cs="Arial"/>
        </w:rPr>
        <w:t xml:space="preserve"> É o parecer.</w:t>
      </w:r>
    </w:p>
    <w:p w:rsidR="005E40BD" w:rsidRPr="00FB7659" w:rsidRDefault="00D72D7B" w:rsidP="005E40BD">
      <w:pPr>
        <w:jc w:val="both"/>
        <w:rPr>
          <w:rFonts w:ascii="Arial" w:hAnsi="Arial" w:cs="Arial"/>
        </w:rPr>
      </w:pPr>
      <w:r w:rsidRPr="00FB7659">
        <w:rPr>
          <w:rFonts w:ascii="Arial" w:hAnsi="Arial" w:cs="Arial"/>
        </w:rPr>
        <w:t xml:space="preserve">Palmeira, </w:t>
      </w:r>
      <w:r w:rsidR="000C729B">
        <w:rPr>
          <w:rFonts w:ascii="Arial" w:hAnsi="Arial" w:cs="Arial"/>
        </w:rPr>
        <w:t>14</w:t>
      </w:r>
      <w:r w:rsidR="00FB7659">
        <w:rPr>
          <w:rFonts w:ascii="Arial" w:hAnsi="Arial" w:cs="Arial"/>
        </w:rPr>
        <w:t xml:space="preserve"> </w:t>
      </w:r>
      <w:r w:rsidRPr="00FB7659">
        <w:rPr>
          <w:rFonts w:ascii="Arial" w:hAnsi="Arial" w:cs="Arial"/>
        </w:rPr>
        <w:t xml:space="preserve">de </w:t>
      </w:r>
      <w:r w:rsidR="000C729B">
        <w:rPr>
          <w:rFonts w:ascii="Arial" w:hAnsi="Arial" w:cs="Arial"/>
        </w:rPr>
        <w:t>agos</w:t>
      </w:r>
      <w:r w:rsidR="00642FCA">
        <w:rPr>
          <w:rFonts w:ascii="Arial" w:hAnsi="Arial" w:cs="Arial"/>
        </w:rPr>
        <w:t>t</w:t>
      </w:r>
      <w:bookmarkStart w:id="0" w:name="_GoBack"/>
      <w:bookmarkEnd w:id="0"/>
      <w:r w:rsidR="000C729B">
        <w:rPr>
          <w:rFonts w:ascii="Arial" w:hAnsi="Arial" w:cs="Arial"/>
        </w:rPr>
        <w:t>o</w:t>
      </w:r>
      <w:r w:rsidRPr="00FB7659">
        <w:rPr>
          <w:rFonts w:ascii="Arial" w:hAnsi="Arial" w:cs="Arial"/>
        </w:rPr>
        <w:t xml:space="preserve"> de 2018.</w:t>
      </w:r>
    </w:p>
    <w:p w:rsidR="00D72D7B" w:rsidRPr="00FB7659" w:rsidRDefault="00D72D7B" w:rsidP="005E40BD">
      <w:pPr>
        <w:jc w:val="both"/>
        <w:rPr>
          <w:rFonts w:ascii="Arial" w:hAnsi="Arial" w:cs="Arial"/>
        </w:rPr>
      </w:pPr>
    </w:p>
    <w:p w:rsidR="00D72D7B" w:rsidRPr="00FB7659" w:rsidRDefault="00D72D7B" w:rsidP="005E40BD">
      <w:pPr>
        <w:jc w:val="both"/>
        <w:rPr>
          <w:rFonts w:ascii="Arial" w:hAnsi="Arial" w:cs="Arial"/>
        </w:rPr>
      </w:pPr>
    </w:p>
    <w:p w:rsidR="00D72D7B" w:rsidRPr="00FB7659" w:rsidRDefault="00D72D7B" w:rsidP="00D72D7B">
      <w:pPr>
        <w:jc w:val="center"/>
        <w:rPr>
          <w:rFonts w:ascii="Arial" w:hAnsi="Arial" w:cs="Arial"/>
          <w:b/>
        </w:rPr>
      </w:pPr>
      <w:r w:rsidRPr="00FB7659">
        <w:rPr>
          <w:rFonts w:ascii="Arial" w:hAnsi="Arial" w:cs="Arial"/>
          <w:b/>
        </w:rPr>
        <w:t>Mônica Heliza Schappo</w:t>
      </w:r>
    </w:p>
    <w:p w:rsidR="00D72D7B" w:rsidRPr="00FB7659" w:rsidRDefault="00D72D7B" w:rsidP="00D72D7B">
      <w:pPr>
        <w:jc w:val="center"/>
        <w:rPr>
          <w:rFonts w:ascii="Arial" w:hAnsi="Arial" w:cs="Arial"/>
          <w:b/>
        </w:rPr>
      </w:pPr>
      <w:r w:rsidRPr="00FB7659">
        <w:rPr>
          <w:rFonts w:ascii="Arial" w:hAnsi="Arial" w:cs="Arial"/>
          <w:b/>
        </w:rPr>
        <w:t>OAB/SC 42.048</w:t>
      </w:r>
    </w:p>
    <w:p w:rsidR="00D72D7B" w:rsidRDefault="00D72D7B" w:rsidP="00D72D7B">
      <w:pPr>
        <w:jc w:val="center"/>
        <w:rPr>
          <w:rFonts w:ascii="Arial" w:hAnsi="Arial" w:cs="Arial"/>
          <w:b/>
        </w:rPr>
      </w:pPr>
      <w:r w:rsidRPr="00FB7659">
        <w:rPr>
          <w:rFonts w:ascii="Arial" w:hAnsi="Arial" w:cs="Arial"/>
          <w:b/>
        </w:rPr>
        <w:t>Assessora Jurídica</w:t>
      </w:r>
    </w:p>
    <w:p w:rsidR="005D63B3" w:rsidRDefault="005D63B3" w:rsidP="002142A3">
      <w:pPr>
        <w:rPr>
          <w:rFonts w:ascii="Arial" w:hAnsi="Arial" w:cs="Arial"/>
          <w:b/>
        </w:rPr>
      </w:pPr>
    </w:p>
    <w:sectPr w:rsidR="005D63B3" w:rsidSect="005E40BD">
      <w:headerReference w:type="default" r:id="rId7"/>
      <w:pgSz w:w="11906" w:h="16838"/>
      <w:pgMar w:top="1417" w:right="99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66B" w:rsidRDefault="003D466B" w:rsidP="00FC6DC7">
      <w:pPr>
        <w:spacing w:after="0" w:line="240" w:lineRule="auto"/>
      </w:pPr>
      <w:r>
        <w:separator/>
      </w:r>
    </w:p>
  </w:endnote>
  <w:endnote w:type="continuationSeparator" w:id="0">
    <w:p w:rsidR="003D466B" w:rsidRDefault="003D466B" w:rsidP="00FC6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66B" w:rsidRDefault="003D466B" w:rsidP="00FC6DC7">
      <w:pPr>
        <w:spacing w:after="0" w:line="240" w:lineRule="auto"/>
      </w:pPr>
      <w:r>
        <w:separator/>
      </w:r>
    </w:p>
  </w:footnote>
  <w:footnote w:type="continuationSeparator" w:id="0">
    <w:p w:rsidR="003D466B" w:rsidRDefault="003D466B" w:rsidP="00FC6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A41" w:rsidRPr="00C12B37" w:rsidRDefault="00C25A41" w:rsidP="00C25A41">
    <w:pPr>
      <w:pStyle w:val="Cabealho"/>
      <w:tabs>
        <w:tab w:val="left" w:pos="1755"/>
        <w:tab w:val="left" w:pos="3510"/>
      </w:tabs>
      <w:rPr>
        <w:rFonts w:ascii="Times New Roman" w:eastAsia="Times New Roman" w:hAnsi="Times New Roman" w:cs="Times New Roman"/>
        <w:sz w:val="24"/>
        <w:szCs w:val="24"/>
        <w:lang w:eastAsia="pt-BR"/>
      </w:rPr>
    </w:pPr>
    <w:r>
      <w:tab/>
    </w:r>
    <w:r>
      <w:tab/>
    </w:r>
    <w:r>
      <w:tab/>
    </w:r>
    <w:r w:rsidR="003D466B">
      <w:rPr>
        <w:rFonts w:ascii="Times New Roman" w:eastAsia="Times New Roman" w:hAnsi="Times New Roman" w:cs="Times New Roman"/>
        <w:noProof/>
        <w:sz w:val="24"/>
        <w:szCs w:val="24"/>
        <w:lang w:eastAsia="pt-B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33.65pt;margin-top:17.4pt;width:423pt;height:13.15pt;z-index:251661312;mso-position-horizontal-relative:text;mso-position-vertical-relative:text" fillcolor="black" stroked="f">
          <v:shadow on="t" color="silver" offset="3pt"/>
          <v:textpath style="font-family:&quot;Verdana&quot;;font-size:18pt;font-weight:bold;v-text-kern:t" trim="t" fitpath="t" string="ESTADO DE SANTA CATARINA"/>
        </v:shape>
      </w:pict>
    </w:r>
    <w:r w:rsidR="003D466B">
      <w:rPr>
        <w:rFonts w:ascii="Times New Roman" w:eastAsia="Times New Roman" w:hAnsi="Times New Roman" w:cs="Times New Roman"/>
        <w:noProof/>
        <w:sz w:val="24"/>
        <w:szCs w:val="24"/>
        <w:lang w:eastAsia="pt-BR"/>
      </w:rPr>
      <w:pict>
        <v:shape id="_x0000_s2050" type="#_x0000_t136" style="position:absolute;margin-left:33.65pt;margin-top:-9.6pt;width:423pt;height:19.5pt;z-index:251660288;mso-position-horizontal-relative:text;mso-position-vertical-relative:text" fillcolor="black" stroked="f">
          <v:shadow on="t" color="silver" offset="3pt"/>
          <v:textpath style="font-family:&quot;Verdana&quot;;font-size:24pt;font-weight:bold;v-text-kern:t" trim="t" fitpath="t" string="PREFEITURA MUNICIPAL DE PALMEIRA"/>
        </v:shape>
      </w:pict>
    </w:r>
    <w:r w:rsidR="003D466B">
      <w:rPr>
        <w:rFonts w:ascii="Times New Roman" w:eastAsia="Times New Roman" w:hAnsi="Times New Roman" w:cs="Times New Roman"/>
        <w:noProof/>
        <w:sz w:val="24"/>
        <w:szCs w:val="24"/>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5.35pt;margin-top:-18.6pt;width:90pt;height:57.5pt;z-index:251659264;mso-position-horizontal-relative:text;mso-position-vertical-relative:text">
          <v:imagedata r:id="rId1" o:title=""/>
        </v:shape>
        <o:OLEObject Type="Embed" ProgID="PBrush" ShapeID="_x0000_s2049" DrawAspect="Content" ObjectID="_1595947767" r:id="rId2"/>
      </w:pict>
    </w:r>
  </w:p>
  <w:p w:rsidR="00C25A41" w:rsidRDefault="00C25A41" w:rsidP="00E227D3">
    <w:pPr>
      <w:pStyle w:val="Cabealho"/>
      <w:tabs>
        <w:tab w:val="clear" w:pos="4252"/>
        <w:tab w:val="clear" w:pos="8504"/>
        <w:tab w:val="left" w:pos="5100"/>
      </w:tabs>
    </w:pPr>
    <w:r>
      <w:tab/>
    </w:r>
  </w:p>
  <w:p w:rsidR="00C25A41" w:rsidRDefault="00C25A41" w:rsidP="00C12B37">
    <w:pPr>
      <w:pStyle w:val="Cabealho"/>
      <w:tabs>
        <w:tab w:val="clear" w:pos="4252"/>
        <w:tab w:val="clear" w:pos="8504"/>
        <w:tab w:val="left" w:pos="1530"/>
      </w:tabs>
    </w:pPr>
  </w:p>
  <w:p w:rsidR="00C25A41" w:rsidRDefault="00C25A41" w:rsidP="00C12B37">
    <w:pPr>
      <w:pStyle w:val="Cabealho"/>
      <w:tabs>
        <w:tab w:val="clear" w:pos="4252"/>
        <w:tab w:val="clear" w:pos="8504"/>
        <w:tab w:val="left" w:pos="1530"/>
      </w:tabs>
    </w:pPr>
  </w:p>
  <w:p w:rsidR="00C25A41" w:rsidRDefault="00C25A41" w:rsidP="00C12B37">
    <w:pPr>
      <w:pStyle w:val="Cabealho"/>
      <w:tabs>
        <w:tab w:val="clear" w:pos="4252"/>
        <w:tab w:val="clear" w:pos="8504"/>
        <w:tab w:val="left" w:pos="153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0BD"/>
    <w:rsid w:val="00007084"/>
    <w:rsid w:val="000631CA"/>
    <w:rsid w:val="000710A4"/>
    <w:rsid w:val="000815D1"/>
    <w:rsid w:val="000C729B"/>
    <w:rsid w:val="0011475D"/>
    <w:rsid w:val="00120026"/>
    <w:rsid w:val="0016150E"/>
    <w:rsid w:val="00187043"/>
    <w:rsid w:val="001A5D01"/>
    <w:rsid w:val="00210FE9"/>
    <w:rsid w:val="002142A3"/>
    <w:rsid w:val="00264B6D"/>
    <w:rsid w:val="00291081"/>
    <w:rsid w:val="002942C1"/>
    <w:rsid w:val="002F35FB"/>
    <w:rsid w:val="002F6D2C"/>
    <w:rsid w:val="0036182F"/>
    <w:rsid w:val="0036220D"/>
    <w:rsid w:val="003A67BE"/>
    <w:rsid w:val="003D466B"/>
    <w:rsid w:val="003D4758"/>
    <w:rsid w:val="003F5C51"/>
    <w:rsid w:val="00412D1D"/>
    <w:rsid w:val="0043097D"/>
    <w:rsid w:val="00455249"/>
    <w:rsid w:val="00476D63"/>
    <w:rsid w:val="004E6CD7"/>
    <w:rsid w:val="004F5447"/>
    <w:rsid w:val="00534989"/>
    <w:rsid w:val="005B1233"/>
    <w:rsid w:val="005D63B3"/>
    <w:rsid w:val="005E40BD"/>
    <w:rsid w:val="005F28F4"/>
    <w:rsid w:val="0061064B"/>
    <w:rsid w:val="00642FCA"/>
    <w:rsid w:val="006C0477"/>
    <w:rsid w:val="006D06AB"/>
    <w:rsid w:val="00725119"/>
    <w:rsid w:val="00824121"/>
    <w:rsid w:val="008452F1"/>
    <w:rsid w:val="008628C3"/>
    <w:rsid w:val="00896964"/>
    <w:rsid w:val="008F6FE4"/>
    <w:rsid w:val="00915298"/>
    <w:rsid w:val="009B58A2"/>
    <w:rsid w:val="009B7941"/>
    <w:rsid w:val="009C0DD1"/>
    <w:rsid w:val="009D6CD9"/>
    <w:rsid w:val="00A00AF8"/>
    <w:rsid w:val="00A23C10"/>
    <w:rsid w:val="00A24F4B"/>
    <w:rsid w:val="00A6741E"/>
    <w:rsid w:val="00AA41AF"/>
    <w:rsid w:val="00AA451B"/>
    <w:rsid w:val="00B320EB"/>
    <w:rsid w:val="00B82D65"/>
    <w:rsid w:val="00C12B37"/>
    <w:rsid w:val="00C148F2"/>
    <w:rsid w:val="00C21B34"/>
    <w:rsid w:val="00C25A41"/>
    <w:rsid w:val="00C35C0B"/>
    <w:rsid w:val="00C62334"/>
    <w:rsid w:val="00C65005"/>
    <w:rsid w:val="00CE0A85"/>
    <w:rsid w:val="00D12A4A"/>
    <w:rsid w:val="00D72D7B"/>
    <w:rsid w:val="00DD3457"/>
    <w:rsid w:val="00E227D3"/>
    <w:rsid w:val="00E26A50"/>
    <w:rsid w:val="00E3490C"/>
    <w:rsid w:val="00EC5462"/>
    <w:rsid w:val="00F10EC0"/>
    <w:rsid w:val="00F25FB3"/>
    <w:rsid w:val="00F34FED"/>
    <w:rsid w:val="00F43EF8"/>
    <w:rsid w:val="00F555DC"/>
    <w:rsid w:val="00F670AC"/>
    <w:rsid w:val="00F87CF7"/>
    <w:rsid w:val="00FB1FD1"/>
    <w:rsid w:val="00FB7659"/>
    <w:rsid w:val="00FC6D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C6D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6DC7"/>
  </w:style>
  <w:style w:type="paragraph" w:styleId="Rodap">
    <w:name w:val="footer"/>
    <w:basedOn w:val="Normal"/>
    <w:link w:val="RodapChar"/>
    <w:uiPriority w:val="99"/>
    <w:unhideWhenUsed/>
    <w:rsid w:val="00FC6DC7"/>
    <w:pPr>
      <w:tabs>
        <w:tab w:val="center" w:pos="4252"/>
        <w:tab w:val="right" w:pos="8504"/>
      </w:tabs>
      <w:spacing w:after="0" w:line="240" w:lineRule="auto"/>
    </w:pPr>
  </w:style>
  <w:style w:type="character" w:customStyle="1" w:styleId="RodapChar">
    <w:name w:val="Rodapé Char"/>
    <w:basedOn w:val="Fontepargpadro"/>
    <w:link w:val="Rodap"/>
    <w:uiPriority w:val="99"/>
    <w:rsid w:val="00FC6D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C6DC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6DC7"/>
  </w:style>
  <w:style w:type="paragraph" w:styleId="Rodap">
    <w:name w:val="footer"/>
    <w:basedOn w:val="Normal"/>
    <w:link w:val="RodapChar"/>
    <w:uiPriority w:val="99"/>
    <w:unhideWhenUsed/>
    <w:rsid w:val="00FC6DC7"/>
    <w:pPr>
      <w:tabs>
        <w:tab w:val="center" w:pos="4252"/>
        <w:tab w:val="right" w:pos="8504"/>
      </w:tabs>
      <w:spacing w:after="0" w:line="240" w:lineRule="auto"/>
    </w:pPr>
  </w:style>
  <w:style w:type="character" w:customStyle="1" w:styleId="RodapChar">
    <w:name w:val="Rodapé Char"/>
    <w:basedOn w:val="Fontepargpadro"/>
    <w:link w:val="Rodap"/>
    <w:uiPriority w:val="99"/>
    <w:rsid w:val="00FC6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7496</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Mônica Schappo</dc:creator>
  <cp:lastModifiedBy>Cliente</cp:lastModifiedBy>
  <cp:revision>3</cp:revision>
  <cp:lastPrinted>2018-06-18T16:45:00Z</cp:lastPrinted>
  <dcterms:created xsi:type="dcterms:W3CDTF">2018-08-16T21:03:00Z</dcterms:created>
  <dcterms:modified xsi:type="dcterms:W3CDTF">2018-08-16T21:03:00Z</dcterms:modified>
</cp:coreProperties>
</file>