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C7" w:rsidRPr="00557142" w:rsidRDefault="00FC6DC7" w:rsidP="00FC6DC7">
      <w:pPr>
        <w:rPr>
          <w:rFonts w:ascii="Arial" w:hAnsi="Arial" w:cs="Arial"/>
          <w:b/>
          <w:u w:val="single"/>
        </w:rPr>
      </w:pPr>
    </w:p>
    <w:p w:rsidR="005E40BD" w:rsidRPr="00557142" w:rsidRDefault="005E40BD" w:rsidP="005E40BD">
      <w:pPr>
        <w:jc w:val="center"/>
        <w:rPr>
          <w:rFonts w:ascii="Arial" w:hAnsi="Arial" w:cs="Arial"/>
          <w:b/>
          <w:u w:val="single"/>
        </w:rPr>
      </w:pPr>
      <w:r w:rsidRPr="00557142">
        <w:rPr>
          <w:rFonts w:ascii="Arial" w:hAnsi="Arial" w:cs="Arial"/>
          <w:b/>
          <w:u w:val="single"/>
        </w:rPr>
        <w:t>PARECER JURÍDICO</w:t>
      </w:r>
    </w:p>
    <w:p w:rsidR="00C12B37" w:rsidRPr="00557142" w:rsidRDefault="00C12B37" w:rsidP="005E40BD">
      <w:pPr>
        <w:jc w:val="center"/>
        <w:rPr>
          <w:rFonts w:ascii="Arial" w:hAnsi="Arial" w:cs="Arial"/>
          <w:b/>
          <w:u w:val="single"/>
        </w:rPr>
      </w:pPr>
    </w:p>
    <w:p w:rsidR="005E40BD" w:rsidRPr="00557142" w:rsidRDefault="00EC5462" w:rsidP="005E40BD">
      <w:pPr>
        <w:ind w:left="3686"/>
        <w:jc w:val="both"/>
        <w:rPr>
          <w:rFonts w:ascii="Arial" w:hAnsi="Arial" w:cs="Arial"/>
          <w:i/>
        </w:rPr>
      </w:pPr>
      <w:r w:rsidRPr="00557142">
        <w:rPr>
          <w:rFonts w:ascii="Arial" w:hAnsi="Arial" w:cs="Arial"/>
          <w:i/>
        </w:rPr>
        <w:t xml:space="preserve">Parecer Jurídico </w:t>
      </w:r>
      <w:r w:rsidR="00B24795">
        <w:rPr>
          <w:rFonts w:ascii="Arial" w:hAnsi="Arial" w:cs="Arial"/>
          <w:i/>
        </w:rPr>
        <w:t>–</w:t>
      </w:r>
      <w:r w:rsidRPr="00557142">
        <w:rPr>
          <w:rFonts w:ascii="Arial" w:hAnsi="Arial" w:cs="Arial"/>
          <w:i/>
        </w:rPr>
        <w:t xml:space="preserve"> </w:t>
      </w:r>
      <w:r w:rsidR="007D66E3">
        <w:rPr>
          <w:rFonts w:ascii="Arial" w:hAnsi="Arial" w:cs="Arial"/>
          <w:i/>
        </w:rPr>
        <w:t xml:space="preserve">aquisição </w:t>
      </w:r>
      <w:r w:rsidR="007D66E3" w:rsidRPr="007D66E3">
        <w:rPr>
          <w:rFonts w:ascii="Arial" w:hAnsi="Arial" w:cs="Arial"/>
          <w:i/>
        </w:rPr>
        <w:t>de uma biblioteca para Educação Infantil</w:t>
      </w:r>
      <w:r w:rsidR="007D66E3">
        <w:rPr>
          <w:rFonts w:ascii="Arial" w:hAnsi="Arial" w:cs="Arial"/>
          <w:i/>
        </w:rPr>
        <w:t xml:space="preserve"> para a Secretaria de Educação.</w:t>
      </w:r>
    </w:p>
    <w:p w:rsidR="005E40BD" w:rsidRPr="00557142" w:rsidRDefault="005E40BD" w:rsidP="005E40BD">
      <w:pPr>
        <w:jc w:val="both"/>
        <w:rPr>
          <w:rFonts w:ascii="Arial" w:hAnsi="Arial" w:cs="Arial"/>
        </w:rPr>
      </w:pPr>
      <w:r w:rsidRPr="00557142">
        <w:rPr>
          <w:rFonts w:ascii="Arial" w:hAnsi="Arial" w:cs="Arial"/>
          <w:b/>
        </w:rPr>
        <w:t>Consulente</w:t>
      </w:r>
      <w:r w:rsidRPr="00557142">
        <w:rPr>
          <w:rFonts w:ascii="Arial" w:hAnsi="Arial" w:cs="Arial"/>
        </w:rPr>
        <w:t>: Comissão Permanente de Licitação.</w:t>
      </w:r>
    </w:p>
    <w:p w:rsidR="005E40BD" w:rsidRPr="00B24795" w:rsidRDefault="005E40BD" w:rsidP="005E40BD">
      <w:pPr>
        <w:jc w:val="both"/>
        <w:rPr>
          <w:rFonts w:ascii="Arial" w:hAnsi="Arial" w:cs="Arial"/>
        </w:rPr>
      </w:pPr>
      <w:r w:rsidRPr="00557142">
        <w:rPr>
          <w:rFonts w:ascii="Arial" w:hAnsi="Arial" w:cs="Arial"/>
          <w:b/>
        </w:rPr>
        <w:t>Assunto</w:t>
      </w:r>
      <w:r w:rsidRPr="00557142">
        <w:rPr>
          <w:rFonts w:ascii="Arial" w:hAnsi="Arial" w:cs="Arial"/>
        </w:rPr>
        <w:t xml:space="preserve">: </w:t>
      </w:r>
      <w:r w:rsidR="007D66E3">
        <w:rPr>
          <w:rFonts w:ascii="Arial" w:hAnsi="Arial" w:cs="Arial"/>
        </w:rPr>
        <w:t>A</w:t>
      </w:r>
      <w:r w:rsidR="007D66E3" w:rsidRPr="007D66E3">
        <w:rPr>
          <w:rFonts w:ascii="Arial" w:hAnsi="Arial" w:cs="Arial"/>
        </w:rPr>
        <w:t>quisição de uma biblioteca para Educação Infantil para a Secretaria de Educação.</w:t>
      </w:r>
    </w:p>
    <w:p w:rsidR="005E40BD" w:rsidRPr="00557142" w:rsidRDefault="005E40BD" w:rsidP="00C1336C">
      <w:pPr>
        <w:ind w:firstLine="708"/>
        <w:jc w:val="both"/>
        <w:rPr>
          <w:rFonts w:ascii="Arial" w:hAnsi="Arial" w:cs="Arial"/>
        </w:rPr>
      </w:pPr>
      <w:r w:rsidRPr="00557142">
        <w:rPr>
          <w:rFonts w:ascii="Arial" w:hAnsi="Arial" w:cs="Arial"/>
        </w:rPr>
        <w:t>A Assessoria Jurídica da Prefeitura Municipal de Palmeira - SC, no uso de suas atribuições, principalmente as contidas na Lei n° 8.666, de 21 de junho de 1993, notadamente o art. 38, VI e Parágrafo único; e demais legislação pertinente, emite o presente PARECER JURIDICO</w:t>
      </w:r>
      <w:r w:rsidR="00405221">
        <w:rPr>
          <w:rFonts w:ascii="Arial" w:hAnsi="Arial" w:cs="Arial"/>
        </w:rPr>
        <w:t>.</w:t>
      </w:r>
    </w:p>
    <w:p w:rsidR="00805567" w:rsidRPr="00805567" w:rsidRDefault="00512A48" w:rsidP="00805567">
      <w:pPr>
        <w:tabs>
          <w:tab w:val="left" w:pos="7268"/>
        </w:tabs>
        <w:jc w:val="both"/>
        <w:rPr>
          <w:rFonts w:ascii="Arial" w:hAnsi="Arial" w:cs="Arial"/>
        </w:rPr>
      </w:pPr>
      <w:r>
        <w:rPr>
          <w:rFonts w:ascii="Arial" w:hAnsi="Arial" w:cs="Arial"/>
        </w:rPr>
        <w:t xml:space="preserve">            </w:t>
      </w:r>
      <w:r w:rsidR="00805567">
        <w:rPr>
          <w:rFonts w:ascii="Arial" w:hAnsi="Arial" w:cs="Arial"/>
        </w:rPr>
        <w:t>PARECER JURÍDICO</w:t>
      </w:r>
    </w:p>
    <w:p w:rsidR="00805567" w:rsidRPr="00805567" w:rsidRDefault="00805567" w:rsidP="00805567">
      <w:pPr>
        <w:tabs>
          <w:tab w:val="left" w:pos="7268"/>
        </w:tabs>
        <w:ind w:firstLine="1701"/>
        <w:jc w:val="both"/>
        <w:rPr>
          <w:rFonts w:ascii="Arial" w:hAnsi="Arial" w:cs="Arial"/>
        </w:rPr>
      </w:pPr>
      <w:r w:rsidRPr="00805567">
        <w:rPr>
          <w:rFonts w:ascii="Arial" w:hAnsi="Arial" w:cs="Arial"/>
        </w:rPr>
        <w:t>Trata-se de consulta formulada pela Comissão Permanente de Licitação, onde requerem</w:t>
      </w:r>
      <w:r>
        <w:rPr>
          <w:rFonts w:ascii="Arial" w:hAnsi="Arial" w:cs="Arial"/>
        </w:rPr>
        <w:t xml:space="preserve"> </w:t>
      </w:r>
      <w:r w:rsidRPr="00805567">
        <w:rPr>
          <w:rFonts w:ascii="Arial" w:hAnsi="Arial" w:cs="Arial"/>
        </w:rPr>
        <w:t xml:space="preserve">manifestação acerca da possibilidade de </w:t>
      </w:r>
      <w:r w:rsidR="007D66E3" w:rsidRPr="007D66E3">
        <w:rPr>
          <w:rFonts w:ascii="Arial" w:hAnsi="Arial" w:cs="Arial"/>
        </w:rPr>
        <w:t>aquisição de uma biblioteca para Educação Infantil para a Secretaria de E</w:t>
      </w:r>
      <w:r w:rsidR="007D66E3">
        <w:rPr>
          <w:rFonts w:ascii="Arial" w:hAnsi="Arial" w:cs="Arial"/>
        </w:rPr>
        <w:t>ducação,</w:t>
      </w:r>
      <w:r w:rsidR="007D66E3" w:rsidRPr="007D66E3">
        <w:t xml:space="preserve"> </w:t>
      </w:r>
      <w:r w:rsidR="007D66E3" w:rsidRPr="007D66E3">
        <w:rPr>
          <w:rFonts w:ascii="Arial" w:hAnsi="Arial" w:cs="Arial"/>
        </w:rPr>
        <w:t>comp</w:t>
      </w:r>
      <w:r w:rsidR="007D66E3">
        <w:rPr>
          <w:rFonts w:ascii="Arial" w:hAnsi="Arial" w:cs="Arial"/>
        </w:rPr>
        <w:t>osta por 420 volumes literários</w:t>
      </w:r>
      <w:r w:rsidRPr="00805567">
        <w:rPr>
          <w:rFonts w:ascii="Arial" w:hAnsi="Arial" w:cs="Arial"/>
        </w:rPr>
        <w:t xml:space="preserve">, fundamentada no artigo 24 inciso II da Lei de Licitações </w:t>
      </w:r>
      <w:r>
        <w:rPr>
          <w:rFonts w:ascii="Arial" w:hAnsi="Arial" w:cs="Arial"/>
        </w:rPr>
        <w:t xml:space="preserve">(8.666/93), requer manifestação </w:t>
      </w:r>
      <w:r w:rsidRPr="00805567">
        <w:rPr>
          <w:rFonts w:ascii="Arial" w:hAnsi="Arial" w:cs="Arial"/>
        </w:rPr>
        <w:t>desta procuradoria sobre o tema.</w:t>
      </w:r>
    </w:p>
    <w:p w:rsidR="00805567" w:rsidRPr="00805567" w:rsidRDefault="00805567" w:rsidP="00805567">
      <w:pPr>
        <w:tabs>
          <w:tab w:val="left" w:pos="7268"/>
        </w:tabs>
        <w:ind w:firstLine="1701"/>
        <w:jc w:val="both"/>
        <w:rPr>
          <w:rFonts w:ascii="Arial" w:hAnsi="Arial" w:cs="Arial"/>
        </w:rPr>
      </w:pPr>
      <w:r w:rsidRPr="00805567">
        <w:rPr>
          <w:rFonts w:ascii="Arial" w:hAnsi="Arial" w:cs="Arial"/>
        </w:rPr>
        <w:t xml:space="preserve">Recebido o presente questionamento, esta </w:t>
      </w:r>
      <w:r>
        <w:rPr>
          <w:rFonts w:ascii="Arial" w:hAnsi="Arial" w:cs="Arial"/>
        </w:rPr>
        <w:t>Assessoria</w:t>
      </w:r>
      <w:r w:rsidRPr="00805567">
        <w:rPr>
          <w:rFonts w:ascii="Arial" w:hAnsi="Arial" w:cs="Arial"/>
        </w:rPr>
        <w:t xml:space="preserve"> passa a se manifestar nos termos</w:t>
      </w:r>
      <w:r>
        <w:rPr>
          <w:rFonts w:ascii="Arial" w:hAnsi="Arial" w:cs="Arial"/>
        </w:rPr>
        <w:t xml:space="preserve"> </w:t>
      </w:r>
      <w:r w:rsidRPr="00805567">
        <w:rPr>
          <w:rFonts w:ascii="Arial" w:hAnsi="Arial" w:cs="Arial"/>
        </w:rPr>
        <w:t>que segue:</w:t>
      </w:r>
    </w:p>
    <w:p w:rsidR="00805567" w:rsidRPr="00805567" w:rsidRDefault="00805567" w:rsidP="00805567">
      <w:pPr>
        <w:tabs>
          <w:tab w:val="left" w:pos="7268"/>
        </w:tabs>
        <w:ind w:firstLine="1701"/>
        <w:jc w:val="both"/>
        <w:rPr>
          <w:rFonts w:ascii="Arial" w:hAnsi="Arial" w:cs="Arial"/>
        </w:rPr>
      </w:pPr>
      <w:r w:rsidRPr="00805567">
        <w:rPr>
          <w:rFonts w:ascii="Arial" w:hAnsi="Arial" w:cs="Arial"/>
        </w:rPr>
        <w:t xml:space="preserve">De fato, a Lei de Licitações em seu artigo 24, inciso </w:t>
      </w:r>
      <w:r w:rsidR="00CA5933">
        <w:rPr>
          <w:rFonts w:ascii="Arial" w:hAnsi="Arial" w:cs="Arial"/>
        </w:rPr>
        <w:t>II</w:t>
      </w:r>
      <w:r w:rsidRPr="00805567">
        <w:rPr>
          <w:rFonts w:ascii="Arial" w:hAnsi="Arial" w:cs="Arial"/>
        </w:rPr>
        <w:t>, prevê a dispensa de licitação, para</w:t>
      </w:r>
      <w:r>
        <w:rPr>
          <w:rFonts w:ascii="Arial" w:hAnsi="Arial" w:cs="Arial"/>
        </w:rPr>
        <w:t xml:space="preserve"> </w:t>
      </w:r>
      <w:r w:rsidRPr="00805567">
        <w:rPr>
          <w:rFonts w:ascii="Arial" w:hAnsi="Arial" w:cs="Arial"/>
        </w:rPr>
        <w:t xml:space="preserve">a contratação de </w:t>
      </w:r>
      <w:r w:rsidR="00DD5F08" w:rsidRPr="00DD5F08">
        <w:rPr>
          <w:rFonts w:ascii="Arial" w:hAnsi="Arial" w:cs="Arial"/>
        </w:rPr>
        <w:t xml:space="preserve">para serviços e compras de valor até 10% (dez por cento) do limite previsto na alínea "a", do inciso II do </w:t>
      </w:r>
      <w:r w:rsidR="00DD5F08">
        <w:rPr>
          <w:rFonts w:ascii="Arial" w:hAnsi="Arial" w:cs="Arial"/>
        </w:rPr>
        <w:t>art.</w:t>
      </w:r>
      <w:r w:rsidR="00B90EFE">
        <w:rPr>
          <w:rFonts w:ascii="Arial" w:hAnsi="Arial" w:cs="Arial"/>
        </w:rPr>
        <w:t xml:space="preserve"> </w:t>
      </w:r>
      <w:r w:rsidR="00DD5F08">
        <w:rPr>
          <w:rFonts w:ascii="Arial" w:hAnsi="Arial" w:cs="Arial"/>
        </w:rPr>
        <w:t xml:space="preserve">23, </w:t>
      </w:r>
      <w:proofErr w:type="gramStart"/>
      <w:r w:rsidR="00DD5F08">
        <w:rPr>
          <w:rFonts w:ascii="Arial" w:hAnsi="Arial" w:cs="Arial"/>
        </w:rPr>
        <w:t>ou seja</w:t>
      </w:r>
      <w:proofErr w:type="gramEnd"/>
      <w:r w:rsidR="00DD5F08">
        <w:rPr>
          <w:rFonts w:ascii="Arial" w:hAnsi="Arial" w:cs="Arial"/>
        </w:rPr>
        <w:t xml:space="preserve"> R$ 17.600,00 (dezessete mil e seiscentos reais)</w:t>
      </w:r>
      <w:r w:rsidR="00DD5F08" w:rsidRPr="00DD5F08">
        <w:rPr>
          <w:rFonts w:ascii="Arial" w:hAnsi="Arial" w:cs="Arial"/>
        </w:rPr>
        <w:t xml:space="preserve"> </w:t>
      </w:r>
      <w:r w:rsidR="00DD5F08">
        <w:rPr>
          <w:rFonts w:ascii="Arial" w:hAnsi="Arial" w:cs="Arial"/>
        </w:rPr>
        <w:t xml:space="preserve">sendo </w:t>
      </w:r>
      <w:r w:rsidR="00DD5F08" w:rsidRPr="00DD5F08">
        <w:rPr>
          <w:rFonts w:ascii="Arial" w:hAnsi="Arial" w:cs="Arial"/>
        </w:rPr>
        <w:t>que possa ser realizada de uma só vez</w:t>
      </w:r>
      <w:r w:rsidR="00CA5933">
        <w:rPr>
          <w:rFonts w:ascii="Arial" w:hAnsi="Arial" w:cs="Arial"/>
        </w:rPr>
        <w:t>.</w:t>
      </w:r>
      <w:r>
        <w:rPr>
          <w:rFonts w:ascii="Arial" w:hAnsi="Arial" w:cs="Arial"/>
        </w:rPr>
        <w:t xml:space="preserve"> </w:t>
      </w:r>
    </w:p>
    <w:p w:rsidR="0038175F" w:rsidRPr="0038175F" w:rsidRDefault="0038175F" w:rsidP="0038175F">
      <w:pPr>
        <w:tabs>
          <w:tab w:val="left" w:pos="7268"/>
        </w:tabs>
        <w:ind w:firstLine="1701"/>
        <w:jc w:val="both"/>
        <w:rPr>
          <w:rFonts w:ascii="Arial" w:hAnsi="Arial" w:cs="Arial"/>
        </w:rPr>
      </w:pPr>
      <w:r w:rsidRPr="0038175F">
        <w:rPr>
          <w:rFonts w:ascii="Arial" w:hAnsi="Arial" w:cs="Arial"/>
        </w:rPr>
        <w:t>As compras e contratações das entidades públicas seguem obrigatoriamente um regime regulamentado por Lei.</w:t>
      </w:r>
    </w:p>
    <w:p w:rsidR="0038175F" w:rsidRPr="0038175F" w:rsidRDefault="0038175F" w:rsidP="0038175F">
      <w:pPr>
        <w:tabs>
          <w:tab w:val="left" w:pos="7268"/>
        </w:tabs>
        <w:ind w:firstLine="1701"/>
        <w:jc w:val="both"/>
        <w:rPr>
          <w:rFonts w:ascii="Arial" w:hAnsi="Arial" w:cs="Arial"/>
        </w:rPr>
      </w:pPr>
      <w:r w:rsidRPr="0038175F">
        <w:rPr>
          <w:rFonts w:ascii="Arial" w:hAnsi="Arial" w:cs="Arial"/>
        </w:rPr>
        <w:t>O fundamento principal que reza por esta iniciativa é o artigo. 37, inciso XXI, da Constituição Federal de 1988, no qual determina que as obras, os serviços, compras e alienações devem ocorrer por meio de licitações.</w:t>
      </w:r>
    </w:p>
    <w:p w:rsidR="0038175F" w:rsidRPr="0038175F" w:rsidRDefault="0038175F" w:rsidP="0038175F">
      <w:pPr>
        <w:tabs>
          <w:tab w:val="left" w:pos="7268"/>
        </w:tabs>
        <w:ind w:firstLine="1701"/>
        <w:jc w:val="both"/>
        <w:rPr>
          <w:rFonts w:ascii="Arial" w:hAnsi="Arial" w:cs="Arial"/>
        </w:rPr>
      </w:pPr>
      <w:r w:rsidRPr="0038175F">
        <w:rPr>
          <w:rFonts w:ascii="Arial" w:hAnsi="Arial" w:cs="Arial"/>
        </w:rPr>
        <w:t xml:space="preserve">A licitação foi o meio encontrado pela Administração </w:t>
      </w:r>
      <w:proofErr w:type="gramStart"/>
      <w:r w:rsidRPr="0038175F">
        <w:rPr>
          <w:rFonts w:ascii="Arial" w:hAnsi="Arial" w:cs="Arial"/>
        </w:rPr>
        <w:t>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w:t>
      </w:r>
      <w:proofErr w:type="gramEnd"/>
      <w:r w:rsidRPr="0038175F">
        <w:rPr>
          <w:rFonts w:ascii="Arial" w:hAnsi="Arial" w:cs="Arial"/>
        </w:rPr>
        <w:t>, e ainda procurar conseguir a proposta mais vantajosa às contratações.</w:t>
      </w:r>
    </w:p>
    <w:p w:rsidR="0038175F" w:rsidRPr="0038175F" w:rsidRDefault="0038175F" w:rsidP="0038175F">
      <w:pPr>
        <w:tabs>
          <w:tab w:val="left" w:pos="7268"/>
        </w:tabs>
        <w:ind w:firstLine="1701"/>
        <w:jc w:val="both"/>
        <w:rPr>
          <w:rFonts w:ascii="Arial" w:hAnsi="Arial" w:cs="Arial"/>
        </w:rPr>
      </w:pPr>
      <w:r w:rsidRPr="0038175F">
        <w:rPr>
          <w:rFonts w:ascii="Arial" w:hAnsi="Arial" w:cs="Arial"/>
        </w:rPr>
        <w:t>Para melhor entendimento, vejamos o que dispõe o inciso XXI do Artigo 37 da CF/1988:</w:t>
      </w:r>
    </w:p>
    <w:p w:rsidR="0038175F" w:rsidRPr="0038175F" w:rsidRDefault="0038175F" w:rsidP="0038175F">
      <w:pPr>
        <w:tabs>
          <w:tab w:val="left" w:pos="7268"/>
        </w:tabs>
        <w:ind w:left="2835"/>
        <w:jc w:val="both"/>
        <w:rPr>
          <w:rFonts w:ascii="Arial" w:hAnsi="Arial" w:cs="Arial"/>
        </w:rPr>
      </w:pPr>
      <w:r w:rsidRPr="0038175F">
        <w:rPr>
          <w:rFonts w:ascii="Arial" w:hAnsi="Arial" w:cs="Arial"/>
        </w:rPr>
        <w:t>(...)</w:t>
      </w:r>
    </w:p>
    <w:p w:rsidR="0038175F" w:rsidRPr="0038175F" w:rsidRDefault="0038175F" w:rsidP="0038175F">
      <w:pPr>
        <w:tabs>
          <w:tab w:val="left" w:pos="7268"/>
        </w:tabs>
        <w:ind w:left="2835"/>
        <w:jc w:val="both"/>
        <w:rPr>
          <w:rFonts w:ascii="Arial" w:hAnsi="Arial" w:cs="Arial"/>
        </w:rPr>
      </w:pPr>
      <w:r w:rsidRPr="0038175F">
        <w:rPr>
          <w:rFonts w:ascii="Arial" w:hAnsi="Arial" w:cs="Arial"/>
        </w:rPr>
        <w:t xml:space="preserve"> “XXI - ressalvados os casos especificados na legislação, as obras, serviços, compras e alienações serão contratados mediante processo de licitação pública que assegure igualdade </w:t>
      </w:r>
      <w:r w:rsidRPr="0038175F">
        <w:rPr>
          <w:rFonts w:ascii="Arial" w:hAnsi="Arial" w:cs="Arial"/>
        </w:rPr>
        <w:lastRenderedPageBreak/>
        <w:t xml:space="preserve">de condições a todos os concorrentes, com cláusulas que estabeleçam obrigações de pagamento, mantidas as condições efetivas da proposta, nos termos da lei, o qual somente permitirá as exigências de qualificação técnica e </w:t>
      </w:r>
      <w:proofErr w:type="gramStart"/>
      <w:r w:rsidRPr="0038175F">
        <w:rPr>
          <w:rFonts w:ascii="Arial" w:hAnsi="Arial" w:cs="Arial"/>
        </w:rPr>
        <w:t>econômica indispensáveis</w:t>
      </w:r>
      <w:proofErr w:type="gramEnd"/>
      <w:r w:rsidRPr="0038175F">
        <w:rPr>
          <w:rFonts w:ascii="Arial" w:hAnsi="Arial" w:cs="Arial"/>
        </w:rPr>
        <w:t xml:space="preserve"> à garantia do cumprimento das obrigações.”</w:t>
      </w:r>
    </w:p>
    <w:p w:rsidR="0038175F" w:rsidRPr="0038175F" w:rsidRDefault="0038175F" w:rsidP="0038175F">
      <w:pPr>
        <w:tabs>
          <w:tab w:val="left" w:pos="7268"/>
        </w:tabs>
        <w:ind w:left="2835"/>
        <w:jc w:val="both"/>
        <w:rPr>
          <w:rFonts w:ascii="Arial" w:hAnsi="Arial" w:cs="Arial"/>
        </w:rPr>
      </w:pPr>
    </w:p>
    <w:p w:rsidR="0038175F" w:rsidRPr="0038175F" w:rsidRDefault="0038175F" w:rsidP="002902D0">
      <w:pPr>
        <w:tabs>
          <w:tab w:val="left" w:pos="7268"/>
        </w:tabs>
        <w:ind w:firstLine="1701"/>
        <w:jc w:val="both"/>
        <w:rPr>
          <w:rFonts w:ascii="Arial" w:hAnsi="Arial" w:cs="Arial"/>
        </w:rPr>
      </w:pPr>
      <w:r w:rsidRPr="0038175F">
        <w:rPr>
          <w:rFonts w:ascii="Arial" w:hAnsi="Arial" w:cs="Arial"/>
        </w:rPr>
        <w:t>Para regulamentar o exercício dessa atividade foi então criada a Lei Federal nº 8.666 de 21 de junho de 1993, mais conhecida como Lei de Licitações e Contratos Administrativos.</w:t>
      </w:r>
    </w:p>
    <w:p w:rsidR="0038175F" w:rsidRPr="0038175F" w:rsidRDefault="0038175F" w:rsidP="002902D0">
      <w:pPr>
        <w:tabs>
          <w:tab w:val="left" w:pos="7268"/>
        </w:tabs>
        <w:ind w:firstLine="1701"/>
        <w:jc w:val="both"/>
        <w:rPr>
          <w:rFonts w:ascii="Arial" w:hAnsi="Arial" w:cs="Arial"/>
        </w:rPr>
      </w:pPr>
      <w:r w:rsidRPr="0038175F">
        <w:rPr>
          <w:rFonts w:ascii="Arial" w:hAnsi="Arial" w:cs="Arial"/>
        </w:rPr>
        <w:t>O objetivo da licitação é contratar a proposta mais vantajosa, primando pelos princípios da legalidade, impessoalidade, igualdade, moralidade e publicidade. Licitar é regra.</w:t>
      </w:r>
    </w:p>
    <w:p w:rsidR="0038175F" w:rsidRPr="0038175F" w:rsidRDefault="0038175F" w:rsidP="002902D0">
      <w:pPr>
        <w:tabs>
          <w:tab w:val="left" w:pos="7268"/>
        </w:tabs>
        <w:ind w:firstLine="1701"/>
        <w:jc w:val="both"/>
        <w:rPr>
          <w:rFonts w:ascii="Arial" w:hAnsi="Arial" w:cs="Arial"/>
        </w:rPr>
      </w:pPr>
      <w:r w:rsidRPr="0038175F">
        <w:rPr>
          <w:rFonts w:ascii="Arial" w:hAnsi="Arial" w:cs="Arial"/>
        </w:rPr>
        <w:t>Entretanto, há aquisições e contratações que possuem caracterizações específicas tornando impossíveis e/ou inviáveis as licitações nos trâmites usuais, frustrando a realização adequada das funções estatais.</w:t>
      </w:r>
    </w:p>
    <w:p w:rsidR="0038175F" w:rsidRPr="0038175F" w:rsidRDefault="0038175F" w:rsidP="002902D0">
      <w:pPr>
        <w:tabs>
          <w:tab w:val="left" w:pos="7268"/>
        </w:tabs>
        <w:ind w:firstLine="1701"/>
        <w:jc w:val="both"/>
        <w:rPr>
          <w:rFonts w:ascii="Arial" w:hAnsi="Arial" w:cs="Arial"/>
        </w:rPr>
      </w:pPr>
      <w:r w:rsidRPr="0038175F">
        <w:rPr>
          <w:rFonts w:ascii="Arial" w:hAnsi="Arial" w:cs="Arial"/>
        </w:rPr>
        <w:t>Na ocorrência de licitações impossíveis e/ou inviáveis, a lei previu exceções à regra, as Dispensas de Licitações e a Inexigibilidade de Licitação. Trata-se de certame realizado sob a obediência ao estabelecido no art. 24, inciso II da Lei n. 8.666/93, onde se verifica ocasião em que é cabível a dispensa de licitação:</w:t>
      </w:r>
    </w:p>
    <w:p w:rsidR="0038175F" w:rsidRPr="0038175F" w:rsidRDefault="0038175F" w:rsidP="002902D0">
      <w:pPr>
        <w:tabs>
          <w:tab w:val="left" w:pos="7268"/>
        </w:tabs>
        <w:ind w:left="2835"/>
        <w:jc w:val="both"/>
        <w:rPr>
          <w:rFonts w:ascii="Arial" w:hAnsi="Arial" w:cs="Arial"/>
        </w:rPr>
      </w:pPr>
      <w:proofErr w:type="gramStart"/>
      <w:r w:rsidRPr="0038175F">
        <w:rPr>
          <w:rFonts w:ascii="Arial" w:hAnsi="Arial" w:cs="Arial"/>
        </w:rPr>
        <w:t>“Art. 24 É dispensável a licitação:</w:t>
      </w:r>
    </w:p>
    <w:p w:rsidR="0038175F" w:rsidRPr="0038175F" w:rsidRDefault="0038175F" w:rsidP="002902D0">
      <w:pPr>
        <w:tabs>
          <w:tab w:val="left" w:pos="7268"/>
        </w:tabs>
        <w:ind w:left="2835"/>
        <w:jc w:val="both"/>
        <w:rPr>
          <w:rFonts w:ascii="Arial" w:hAnsi="Arial" w:cs="Arial"/>
        </w:rPr>
      </w:pPr>
      <w:proofErr w:type="gramEnd"/>
      <w:r w:rsidRPr="0038175F">
        <w:rPr>
          <w:rFonts w:ascii="Arial" w:hAnsi="Arial" w:cs="Arial"/>
        </w:rPr>
        <w:t>...</w:t>
      </w:r>
    </w:p>
    <w:p w:rsidR="0038175F" w:rsidRPr="0038175F" w:rsidRDefault="0038175F" w:rsidP="002902D0">
      <w:pPr>
        <w:tabs>
          <w:tab w:val="left" w:pos="7268"/>
        </w:tabs>
        <w:ind w:left="2835"/>
        <w:jc w:val="both"/>
        <w:rPr>
          <w:rFonts w:ascii="Arial" w:hAnsi="Arial" w:cs="Arial"/>
        </w:rPr>
      </w:pPr>
      <w:proofErr w:type="gramStart"/>
      <w:r w:rsidRPr="0038175F">
        <w:rPr>
          <w:rFonts w:ascii="Arial" w:hAnsi="Arial" w:cs="Arial"/>
        </w:rPr>
        <w:t xml:space="preserve">II - para outros serviços e compras de valor até dez por cento do limite previsto na alínea “a” do inciso II (R$ </w:t>
      </w:r>
      <w:r w:rsidR="002902D0">
        <w:rPr>
          <w:rFonts w:ascii="Arial" w:hAnsi="Arial" w:cs="Arial"/>
        </w:rPr>
        <w:t>17</w:t>
      </w:r>
      <w:r w:rsidRPr="0038175F">
        <w:rPr>
          <w:rFonts w:ascii="Arial" w:hAnsi="Arial" w:cs="Arial"/>
        </w:rPr>
        <w:t>.</w:t>
      </w:r>
      <w:r w:rsidR="002902D0">
        <w:rPr>
          <w:rFonts w:ascii="Arial" w:hAnsi="Arial" w:cs="Arial"/>
        </w:rPr>
        <w:t>6</w:t>
      </w:r>
      <w:r w:rsidRPr="0038175F">
        <w:rPr>
          <w:rFonts w:ascii="Arial" w:hAnsi="Arial" w:cs="Arial"/>
        </w:rPr>
        <w:t>00,00) do artigo anterior, e para alienações, nos casos previstos nesta Lei, desde que não se refiram a parcelas de um mesmo serviço, compra ou alienação de maior vulto que poss</w:t>
      </w:r>
      <w:r w:rsidR="00B44A22">
        <w:rPr>
          <w:rFonts w:ascii="Arial" w:hAnsi="Arial" w:cs="Arial"/>
        </w:rPr>
        <w:t>a ser realizada de uma só vez</w:t>
      </w:r>
      <w:r w:rsidR="002902D0">
        <w:rPr>
          <w:rFonts w:ascii="Arial" w:hAnsi="Arial" w:cs="Arial"/>
        </w:rPr>
        <w:t>”</w:t>
      </w:r>
      <w:proofErr w:type="gramEnd"/>
      <w:r w:rsidR="00B44A22">
        <w:rPr>
          <w:rFonts w:ascii="Arial" w:hAnsi="Arial" w:cs="Arial"/>
        </w:rPr>
        <w:t>.</w:t>
      </w:r>
    </w:p>
    <w:p w:rsidR="00805567" w:rsidRPr="00805567" w:rsidRDefault="0038175F" w:rsidP="002902D0">
      <w:pPr>
        <w:tabs>
          <w:tab w:val="left" w:pos="7268"/>
        </w:tabs>
        <w:ind w:firstLine="1701"/>
        <w:jc w:val="both"/>
        <w:rPr>
          <w:rFonts w:ascii="Arial" w:hAnsi="Arial" w:cs="Arial"/>
        </w:rPr>
      </w:pPr>
      <w:r w:rsidRPr="0038175F">
        <w:rPr>
          <w:rFonts w:ascii="Arial" w:hAnsi="Arial" w:cs="Arial"/>
        </w:rPr>
        <w:t>No caso em questão verifica-se a Dispensa de Licitação com base jurídica no inciso II do art. 26 da Lei nº 8.666/93.</w:t>
      </w:r>
    </w:p>
    <w:p w:rsidR="00805567" w:rsidRPr="00805567" w:rsidRDefault="00805567" w:rsidP="00CA5933">
      <w:pPr>
        <w:tabs>
          <w:tab w:val="left" w:pos="7268"/>
        </w:tabs>
        <w:ind w:firstLine="1701"/>
        <w:jc w:val="both"/>
        <w:rPr>
          <w:rFonts w:ascii="Arial" w:hAnsi="Arial" w:cs="Arial"/>
        </w:rPr>
      </w:pPr>
      <w:r w:rsidRPr="00805567">
        <w:rPr>
          <w:rFonts w:ascii="Arial" w:hAnsi="Arial" w:cs="Arial"/>
        </w:rPr>
        <w:t>Compete ao Administrador a avaliação de pessoa que será contratada pelo Poder</w:t>
      </w:r>
      <w:r w:rsidR="00CA5933">
        <w:rPr>
          <w:rFonts w:ascii="Arial" w:hAnsi="Arial" w:cs="Arial"/>
        </w:rPr>
        <w:t xml:space="preserve"> </w:t>
      </w:r>
      <w:r w:rsidRPr="00805567">
        <w:rPr>
          <w:rFonts w:ascii="Arial" w:hAnsi="Arial" w:cs="Arial"/>
        </w:rPr>
        <w:t>Público, na hipótese de dispensa de licitação pelo art. 24, II, da Lei Federal n. 8.666/93,</w:t>
      </w:r>
      <w:r w:rsidR="00CA5933">
        <w:rPr>
          <w:rFonts w:ascii="Arial" w:hAnsi="Arial" w:cs="Arial"/>
        </w:rPr>
        <w:t xml:space="preserve"> </w:t>
      </w:r>
      <w:r w:rsidRPr="00805567">
        <w:rPr>
          <w:rFonts w:ascii="Arial" w:hAnsi="Arial" w:cs="Arial"/>
        </w:rPr>
        <w:t xml:space="preserve">levando em consideração aspectos prévios ao contrato, </w:t>
      </w:r>
      <w:r w:rsidR="00CA5933">
        <w:rPr>
          <w:rFonts w:ascii="Arial" w:hAnsi="Arial" w:cs="Arial"/>
        </w:rPr>
        <w:t>sendo que o valor total da contratação não seja superior a R$ 17.600</w:t>
      </w:r>
      <w:r w:rsidR="0038175F">
        <w:rPr>
          <w:rFonts w:ascii="Arial" w:hAnsi="Arial" w:cs="Arial"/>
        </w:rPr>
        <w:t>,00 (dezessete mil e seiscentos reais).</w:t>
      </w:r>
    </w:p>
    <w:p w:rsidR="0038175F" w:rsidRDefault="00805567" w:rsidP="0038175F">
      <w:pPr>
        <w:tabs>
          <w:tab w:val="left" w:pos="7268"/>
        </w:tabs>
        <w:ind w:firstLine="1701"/>
        <w:jc w:val="both"/>
        <w:rPr>
          <w:rFonts w:ascii="Arial" w:hAnsi="Arial" w:cs="Arial"/>
        </w:rPr>
      </w:pPr>
      <w:r w:rsidRPr="00805567">
        <w:rPr>
          <w:rFonts w:ascii="Arial" w:hAnsi="Arial" w:cs="Arial"/>
        </w:rPr>
        <w:t>Os contratos sem definição clara e objetiva do objeto, tampouco da forma de execução</w:t>
      </w:r>
      <w:r w:rsidR="0038175F">
        <w:rPr>
          <w:rFonts w:ascii="Arial" w:hAnsi="Arial" w:cs="Arial"/>
        </w:rPr>
        <w:t xml:space="preserve"> </w:t>
      </w:r>
      <w:r w:rsidRPr="00805567">
        <w:rPr>
          <w:rFonts w:ascii="Arial" w:hAnsi="Arial" w:cs="Arial"/>
        </w:rPr>
        <w:t>e dos valores pagos pelo Poder Públic</w:t>
      </w:r>
      <w:r w:rsidR="0038175F">
        <w:rPr>
          <w:rFonts w:ascii="Arial" w:hAnsi="Arial" w:cs="Arial"/>
        </w:rPr>
        <w:t>o, não encontram amparo em lei.</w:t>
      </w:r>
    </w:p>
    <w:p w:rsidR="00103552" w:rsidRDefault="00103552" w:rsidP="0038175F">
      <w:pPr>
        <w:tabs>
          <w:tab w:val="left" w:pos="7268"/>
        </w:tabs>
        <w:ind w:firstLine="1701"/>
        <w:jc w:val="both"/>
        <w:rPr>
          <w:rFonts w:ascii="Arial" w:hAnsi="Arial" w:cs="Arial"/>
        </w:rPr>
      </w:pPr>
      <w:r w:rsidRPr="00103552">
        <w:rPr>
          <w:rFonts w:ascii="Arial" w:hAnsi="Arial" w:cs="Arial"/>
        </w:rPr>
        <w:t>Em verdade, esse procedimento de perquirir sobre se a contratação pretendida faz parte (ou deveria fazer) do raio de planejamento ordinário das contratações do órgão ou da entidade funciona como uma baliza bastante segura e razoável para orientar a decisão do gestor no que toca a evitar um possível e ilegal fracionamento de despesas.</w:t>
      </w:r>
    </w:p>
    <w:p w:rsidR="00CD7920" w:rsidRDefault="00103552" w:rsidP="0038175F">
      <w:pPr>
        <w:tabs>
          <w:tab w:val="left" w:pos="7268"/>
        </w:tabs>
        <w:ind w:firstLine="1701"/>
        <w:jc w:val="both"/>
        <w:rPr>
          <w:rFonts w:ascii="Arial" w:hAnsi="Arial" w:cs="Arial"/>
        </w:rPr>
      </w:pPr>
      <w:r w:rsidRPr="00103552">
        <w:rPr>
          <w:rFonts w:ascii="Arial" w:hAnsi="Arial" w:cs="Arial"/>
        </w:rPr>
        <w:t xml:space="preserve">De se concluir, pois, dispensa em razão do valor, não devem ultrapassar o limite legal estabelecido ao longo do exercício financeiro, contadas as despesas a partir da </w:t>
      </w:r>
      <w:r w:rsidRPr="00103552">
        <w:rPr>
          <w:rFonts w:ascii="Arial" w:hAnsi="Arial" w:cs="Arial"/>
        </w:rPr>
        <w:lastRenderedPageBreak/>
        <w:t>classificação orçamentária utilizada, sob pena de se caracterizar o fracionamento ilegal; e, ainda, que a contratação direta de cursos de capacitação/aperfeiçoamento, não relacionados à área fim, deve subordinar-se, a princípio, ao procedimento licitatório, podendo haver contratação por inexigibilidade somente quando ocorrer de fato inviabilidade de competição, ou por dispensa, caso não sejam ultrapassados os limites de valor previstos nos art. 24, inciso II, da Lei nº 8.666/1993.</w:t>
      </w:r>
    </w:p>
    <w:p w:rsidR="002902D0" w:rsidRPr="002902D0" w:rsidRDefault="002902D0" w:rsidP="002902D0">
      <w:pPr>
        <w:tabs>
          <w:tab w:val="left" w:pos="7268"/>
        </w:tabs>
        <w:ind w:firstLine="1701"/>
        <w:jc w:val="both"/>
        <w:rPr>
          <w:rFonts w:ascii="Arial" w:hAnsi="Arial" w:cs="Arial"/>
        </w:rPr>
      </w:pPr>
      <w:r>
        <w:rPr>
          <w:rFonts w:ascii="Arial" w:hAnsi="Arial" w:cs="Arial"/>
        </w:rPr>
        <w:t>Logo</w:t>
      </w:r>
      <w:r w:rsidRPr="002902D0">
        <w:rPr>
          <w:rFonts w:ascii="Arial" w:hAnsi="Arial" w:cs="Arial"/>
        </w:rPr>
        <w:t>, não restam dúvidas que a escolha mais adequada a atender o interesse público é a</w:t>
      </w:r>
      <w:r>
        <w:rPr>
          <w:rFonts w:ascii="Arial" w:hAnsi="Arial" w:cs="Arial"/>
        </w:rPr>
        <w:t xml:space="preserve"> </w:t>
      </w:r>
      <w:r w:rsidRPr="002902D0">
        <w:rPr>
          <w:rFonts w:ascii="Arial" w:hAnsi="Arial" w:cs="Arial"/>
        </w:rPr>
        <w:t xml:space="preserve">contratação </w:t>
      </w:r>
      <w:r>
        <w:rPr>
          <w:rFonts w:ascii="Arial" w:hAnsi="Arial" w:cs="Arial"/>
        </w:rPr>
        <w:t xml:space="preserve">da </w:t>
      </w:r>
      <w:r w:rsidR="00614E5C">
        <w:rPr>
          <w:rFonts w:ascii="Arial" w:hAnsi="Arial" w:cs="Arial"/>
        </w:rPr>
        <w:t>vencedora, pelo valor</w:t>
      </w:r>
      <w:r w:rsidRPr="002902D0">
        <w:rPr>
          <w:rFonts w:ascii="Arial" w:hAnsi="Arial" w:cs="Arial"/>
        </w:rPr>
        <w:t>, demonstrando assim dispensável o processo</w:t>
      </w:r>
      <w:r>
        <w:rPr>
          <w:rFonts w:ascii="Arial" w:hAnsi="Arial" w:cs="Arial"/>
        </w:rPr>
        <w:t>,</w:t>
      </w:r>
      <w:r w:rsidRPr="002902D0">
        <w:t xml:space="preserve"> </w:t>
      </w:r>
      <w:r w:rsidRPr="002902D0">
        <w:rPr>
          <w:rFonts w:ascii="Arial" w:hAnsi="Arial" w:cs="Arial"/>
        </w:rPr>
        <w:t>paut</w:t>
      </w:r>
      <w:r>
        <w:rPr>
          <w:rFonts w:ascii="Arial" w:hAnsi="Arial" w:cs="Arial"/>
        </w:rPr>
        <w:t xml:space="preserve">ado no princípio da legalidade, </w:t>
      </w:r>
      <w:r w:rsidRPr="002902D0">
        <w:rPr>
          <w:rFonts w:ascii="Arial" w:hAnsi="Arial" w:cs="Arial"/>
        </w:rPr>
        <w:t>impessoalidade e eficiência, bem como nos demais princípios norteadores da Administração</w:t>
      </w:r>
      <w:r>
        <w:rPr>
          <w:rFonts w:ascii="Arial" w:hAnsi="Arial" w:cs="Arial"/>
        </w:rPr>
        <w:t xml:space="preserve"> </w:t>
      </w:r>
      <w:r w:rsidRPr="002902D0">
        <w:rPr>
          <w:rFonts w:ascii="Arial" w:hAnsi="Arial" w:cs="Arial"/>
        </w:rPr>
        <w:t>Pública, opino pela possibilidade de contratação pelo procedimento de dispensa de</w:t>
      </w:r>
      <w:r>
        <w:rPr>
          <w:rFonts w:ascii="Arial" w:hAnsi="Arial" w:cs="Arial"/>
        </w:rPr>
        <w:t xml:space="preserve"> </w:t>
      </w:r>
      <w:r w:rsidRPr="002902D0">
        <w:rPr>
          <w:rFonts w:ascii="Arial" w:hAnsi="Arial" w:cs="Arial"/>
        </w:rPr>
        <w:t>licita</w:t>
      </w:r>
      <w:r>
        <w:rPr>
          <w:rFonts w:ascii="Arial" w:hAnsi="Arial" w:cs="Arial"/>
        </w:rPr>
        <w:t xml:space="preserve">ção, nos termos do artigo 24, </w:t>
      </w:r>
      <w:r w:rsidRPr="002902D0">
        <w:rPr>
          <w:rFonts w:ascii="Arial" w:hAnsi="Arial" w:cs="Arial"/>
        </w:rPr>
        <w:t>II, combinado com o artigo 26, da Lei nº 8.666/93.</w:t>
      </w:r>
    </w:p>
    <w:p w:rsidR="00304E86" w:rsidRPr="00557142" w:rsidRDefault="002902D0" w:rsidP="002902D0">
      <w:pPr>
        <w:tabs>
          <w:tab w:val="left" w:pos="7268"/>
        </w:tabs>
        <w:ind w:firstLine="1701"/>
        <w:jc w:val="both"/>
        <w:rPr>
          <w:rFonts w:ascii="Arial" w:hAnsi="Arial" w:cs="Arial"/>
        </w:rPr>
      </w:pPr>
      <w:r w:rsidRPr="002902D0">
        <w:rPr>
          <w:rFonts w:ascii="Arial" w:hAnsi="Arial" w:cs="Arial"/>
        </w:rPr>
        <w:t>É o parecer que levamos ao conhecimento da autorida</w:t>
      </w:r>
      <w:r>
        <w:rPr>
          <w:rFonts w:ascii="Arial" w:hAnsi="Arial" w:cs="Arial"/>
        </w:rPr>
        <w:t xml:space="preserve">de consulente, para que adote o </w:t>
      </w:r>
      <w:r w:rsidRPr="002902D0">
        <w:rPr>
          <w:rFonts w:ascii="Arial" w:hAnsi="Arial" w:cs="Arial"/>
        </w:rPr>
        <w:t>procedimento que entenda mais adequado ao caso.</w:t>
      </w:r>
      <w:r w:rsidRPr="002902D0">
        <w:rPr>
          <w:rFonts w:ascii="Arial" w:hAnsi="Arial" w:cs="Arial"/>
        </w:rPr>
        <w:cr/>
      </w:r>
      <w:r w:rsidR="00512A48" w:rsidRPr="00405221">
        <w:rPr>
          <w:rFonts w:ascii="Arial" w:hAnsi="Arial" w:cs="Arial"/>
        </w:rPr>
        <w:br/>
      </w:r>
      <w:r w:rsidR="00041BF2">
        <w:rPr>
          <w:rFonts w:ascii="Arial" w:hAnsi="Arial" w:cs="Arial"/>
        </w:rPr>
        <w:t>Salvo melhor juízo</w:t>
      </w:r>
    </w:p>
    <w:p w:rsidR="005E40BD" w:rsidRPr="00557142" w:rsidRDefault="00D72D7B" w:rsidP="005E40BD">
      <w:pPr>
        <w:jc w:val="both"/>
        <w:rPr>
          <w:rFonts w:ascii="Arial" w:hAnsi="Arial" w:cs="Arial"/>
        </w:rPr>
      </w:pPr>
      <w:r w:rsidRPr="00557142">
        <w:rPr>
          <w:rFonts w:ascii="Arial" w:hAnsi="Arial" w:cs="Arial"/>
        </w:rPr>
        <w:t xml:space="preserve">Palmeira, </w:t>
      </w:r>
      <w:r w:rsidR="007D66E3">
        <w:rPr>
          <w:rFonts w:ascii="Arial" w:hAnsi="Arial" w:cs="Arial"/>
        </w:rPr>
        <w:t>27</w:t>
      </w:r>
      <w:r w:rsidRPr="00557142">
        <w:rPr>
          <w:rFonts w:ascii="Arial" w:hAnsi="Arial" w:cs="Arial"/>
        </w:rPr>
        <w:t xml:space="preserve"> de </w:t>
      </w:r>
      <w:r w:rsidR="007D66E3">
        <w:rPr>
          <w:rFonts w:ascii="Arial" w:hAnsi="Arial" w:cs="Arial"/>
        </w:rPr>
        <w:t>fevereiro</w:t>
      </w:r>
      <w:r w:rsidRPr="00557142">
        <w:rPr>
          <w:rFonts w:ascii="Arial" w:hAnsi="Arial" w:cs="Arial"/>
        </w:rPr>
        <w:t xml:space="preserve"> de 201</w:t>
      </w:r>
      <w:r w:rsidR="007D66E3">
        <w:rPr>
          <w:rFonts w:ascii="Arial" w:hAnsi="Arial" w:cs="Arial"/>
        </w:rPr>
        <w:t>9</w:t>
      </w:r>
      <w:bookmarkStart w:id="0" w:name="_GoBack"/>
      <w:bookmarkEnd w:id="0"/>
      <w:r w:rsidRPr="00557142">
        <w:rPr>
          <w:rFonts w:ascii="Arial" w:hAnsi="Arial" w:cs="Arial"/>
        </w:rPr>
        <w:t>.</w:t>
      </w:r>
    </w:p>
    <w:p w:rsidR="00D72D7B" w:rsidRPr="00557142" w:rsidRDefault="00D72D7B" w:rsidP="005E40BD">
      <w:pPr>
        <w:jc w:val="both"/>
        <w:rPr>
          <w:rFonts w:ascii="Arial" w:hAnsi="Arial" w:cs="Arial"/>
        </w:rPr>
      </w:pPr>
    </w:p>
    <w:p w:rsidR="00D72D7B" w:rsidRPr="00557142" w:rsidRDefault="00D72D7B" w:rsidP="005E40BD">
      <w:pPr>
        <w:jc w:val="both"/>
        <w:rPr>
          <w:rFonts w:ascii="Arial" w:hAnsi="Arial" w:cs="Arial"/>
        </w:rPr>
      </w:pPr>
    </w:p>
    <w:p w:rsidR="00D72D7B" w:rsidRPr="00557142" w:rsidRDefault="00D72D7B" w:rsidP="00D72D7B">
      <w:pPr>
        <w:jc w:val="center"/>
        <w:rPr>
          <w:rFonts w:ascii="Arial" w:hAnsi="Arial" w:cs="Arial"/>
          <w:b/>
        </w:rPr>
      </w:pPr>
      <w:r w:rsidRPr="00557142">
        <w:rPr>
          <w:rFonts w:ascii="Arial" w:hAnsi="Arial" w:cs="Arial"/>
          <w:b/>
        </w:rPr>
        <w:t>Mônica Heliza Schappo</w:t>
      </w:r>
    </w:p>
    <w:p w:rsidR="00D72D7B" w:rsidRPr="00557142" w:rsidRDefault="00D72D7B" w:rsidP="00D72D7B">
      <w:pPr>
        <w:jc w:val="center"/>
        <w:rPr>
          <w:rFonts w:ascii="Arial" w:hAnsi="Arial" w:cs="Arial"/>
          <w:b/>
        </w:rPr>
      </w:pPr>
      <w:r w:rsidRPr="00557142">
        <w:rPr>
          <w:rFonts w:ascii="Arial" w:hAnsi="Arial" w:cs="Arial"/>
          <w:b/>
        </w:rPr>
        <w:t>OAB/SC 42.048</w:t>
      </w:r>
    </w:p>
    <w:p w:rsidR="00D72D7B" w:rsidRPr="00557142" w:rsidRDefault="00D72D7B" w:rsidP="00D72D7B">
      <w:pPr>
        <w:jc w:val="center"/>
        <w:rPr>
          <w:rFonts w:ascii="Arial" w:hAnsi="Arial" w:cs="Arial"/>
          <w:b/>
        </w:rPr>
      </w:pPr>
      <w:r w:rsidRPr="00557142">
        <w:rPr>
          <w:rFonts w:ascii="Arial" w:hAnsi="Arial" w:cs="Arial"/>
          <w:b/>
        </w:rPr>
        <w:t>Assessora Jurídica</w:t>
      </w:r>
      <w:proofErr w:type="gramStart"/>
      <w:r w:rsidR="007D0863">
        <w:rPr>
          <w:rFonts w:ascii="Arial" w:hAnsi="Arial" w:cs="Arial"/>
          <w:b/>
        </w:rPr>
        <w:t xml:space="preserve">   </w:t>
      </w:r>
    </w:p>
    <w:proofErr w:type="gramEnd"/>
    <w:sectPr w:rsidR="00D72D7B" w:rsidRPr="00557142" w:rsidSect="005E40BD">
      <w:headerReference w:type="default" r:id="rId7"/>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A5" w:rsidRDefault="00F865A5" w:rsidP="00FC6DC7">
      <w:pPr>
        <w:spacing w:after="0" w:line="240" w:lineRule="auto"/>
      </w:pPr>
      <w:r>
        <w:separator/>
      </w:r>
    </w:p>
  </w:endnote>
  <w:endnote w:type="continuationSeparator" w:id="0">
    <w:p w:rsidR="00F865A5" w:rsidRDefault="00F865A5" w:rsidP="00FC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A5" w:rsidRDefault="00F865A5" w:rsidP="00FC6DC7">
      <w:pPr>
        <w:spacing w:after="0" w:line="240" w:lineRule="auto"/>
      </w:pPr>
      <w:r>
        <w:separator/>
      </w:r>
    </w:p>
  </w:footnote>
  <w:footnote w:type="continuationSeparator" w:id="0">
    <w:p w:rsidR="00F865A5" w:rsidRDefault="00F865A5" w:rsidP="00FC6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37" w:rsidRPr="00405221" w:rsidRDefault="00405221" w:rsidP="00C12B37">
    <w:pPr>
      <w:pStyle w:val="Cabealho"/>
      <w:rPr>
        <w:rFonts w:ascii="Times New Roman" w:eastAsia="Times New Roman" w:hAnsi="Times New Roman" w:cs="Times New Roman"/>
        <w:lang w:eastAsia="pt-BR"/>
      </w:rPr>
    </w:pPr>
    <w:r w:rsidRPr="00405221">
      <w:rPr>
        <w:rFonts w:ascii="Times New Roman" w:eastAsia="Times New Roman" w:hAnsi="Times New Roman" w:cs="Times New Roman"/>
        <w:noProof/>
        <w:lang w:eastAsia="pt-BR"/>
      </w:rPr>
      <mc:AlternateContent>
        <mc:Choice Requires="wps">
          <w:drawing>
            <wp:anchor distT="0" distB="0" distL="114300" distR="114300" simplePos="0" relativeHeight="251660288" behindDoc="0" locked="0" layoutInCell="1" allowOverlap="1">
              <wp:simplePos x="0" y="0"/>
              <wp:positionH relativeFrom="column">
                <wp:posOffset>551815</wp:posOffset>
              </wp:positionH>
              <wp:positionV relativeFrom="paragraph">
                <wp:posOffset>-125729</wp:posOffset>
              </wp:positionV>
              <wp:extent cx="5245100" cy="3238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5100" cy="323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2625" w:rsidRPr="00405221" w:rsidRDefault="00C72625" w:rsidP="00C72625">
                          <w:pPr>
                            <w:pStyle w:val="NormalWeb"/>
                            <w:spacing w:before="0" w:beforeAutospacing="0" w:after="0" w:afterAutospacing="0"/>
                            <w:jc w:val="center"/>
                            <w:rPr>
                              <w:sz w:val="36"/>
                              <w:szCs w:val="36"/>
                            </w:rPr>
                          </w:pPr>
                          <w:r w:rsidRPr="00405221">
                            <w:rPr>
                              <w:rFonts w:ascii="Verdana" w:eastAsia="Verdana" w:hAnsi="Verdana"/>
                              <w:b/>
                              <w:bCs/>
                              <w:color w:val="000000"/>
                              <w:sz w:val="36"/>
                              <w:szCs w:val="36"/>
                              <w14:shadow w14:blurRad="0" w14:dist="45847" w14:dir="2021404" w14:sx="100000" w14:sy="100000" w14:kx="0" w14:ky="0" w14:algn="ctr">
                                <w14:srgbClr w14:val="C0C0C0"/>
                              </w14:shadow>
                            </w:rPr>
                            <w:t>PREFEITURA MUNICIPAL DE PALMEIRA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margin-left:43.45pt;margin-top:-9.9pt;width:41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" filled="f" stroked="f">
              <v:stroke joinstyle="round"/>
              <o:lock v:ext="edit" shapetype="t"/>
              <v:textbox>
                <w:txbxContent>
                  <w:p w:rsidR="00C72625" w:rsidRPr="00405221" w:rsidRDefault="00C72625" w:rsidP="00C72625">
                    <w:pPr>
                      <w:pStyle w:val="NormalWeb"/>
                      <w:spacing w:before="0" w:beforeAutospacing="0" w:after="0" w:afterAutospacing="0"/>
                      <w:jc w:val="center"/>
                      <w:rPr>
                        <w:sz w:val="36"/>
                        <w:szCs w:val="36"/>
                      </w:rPr>
                    </w:pPr>
                    <w:r w:rsidRPr="00405221">
                      <w:rPr>
                        <w:rFonts w:ascii="Verdana" w:eastAsia="Verdana" w:hAnsi="Verdana"/>
                        <w:b/>
                        <w:bCs/>
                        <w:color w:val="000000"/>
                        <w:sz w:val="36"/>
                        <w:szCs w:val="36"/>
                        <w14:shadow w14:blurRad="0" w14:dist="45847" w14:dir="2021404" w14:sx="100000" w14:sy="100000" w14:kx="0" w14:ky="0" w14:algn="ctr">
                          <w14:srgbClr w14:val="C0C0C0"/>
                        </w14:shadow>
                      </w:rPr>
                      <w:t>PREFEITURA MUNICIPAL DE PALMEIRA</w:t>
                    </w:r>
                  </w:p>
                </w:txbxContent>
              </v:textbox>
            </v:shape>
          </w:pict>
        </mc:Fallback>
      </mc:AlternateContent>
    </w:r>
    <w:r w:rsidR="00C12B37" w:rsidRPr="00405221">
      <w:tab/>
    </w:r>
    <w:r w:rsidR="00F865A5">
      <w:rPr>
        <w:rFonts w:ascii="Times New Roman" w:eastAsia="Times New Roman" w:hAnsi="Times New Roman" w:cs="Times New Roman"/>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35pt;margin-top:-18.6pt;width:90pt;height:57.5pt;z-index:251659264;mso-position-horizontal-relative:text;mso-position-vertical-relative:text">
          <v:imagedata r:id="rId1" o:title=""/>
        </v:shape>
        <o:OLEObject Type="Embed" ProgID="PBrush" ShapeID="_x0000_s2049" DrawAspect="Content" ObjectID="_1612770003" r:id="rId2"/>
      </w:pict>
    </w:r>
  </w:p>
  <w:p w:rsidR="00C12B37" w:rsidRDefault="00405221" w:rsidP="00C12B37">
    <w:pPr>
      <w:pStyle w:val="Cabealho"/>
      <w:tabs>
        <w:tab w:val="clear" w:pos="4252"/>
        <w:tab w:val="clear" w:pos="8504"/>
        <w:tab w:val="left" w:pos="1530"/>
      </w:tabs>
    </w:pPr>
    <w:r w:rsidRPr="00405221">
      <w:rPr>
        <w:rFonts w:ascii="Times New Roman" w:eastAsia="Times New Roman" w:hAnsi="Times New Roman" w:cs="Times New Roman"/>
        <w:noProof/>
        <w:lang w:eastAsia="pt-BR"/>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56515</wp:posOffset>
              </wp:positionV>
              <wp:extent cx="5384800" cy="27305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4800" cy="273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2625" w:rsidRPr="00405221" w:rsidRDefault="00C72625" w:rsidP="00C72625">
                          <w:pPr>
                            <w:pStyle w:val="NormalWeb"/>
                            <w:spacing w:before="0" w:beforeAutospacing="0" w:after="0" w:afterAutospacing="0"/>
                            <w:jc w:val="center"/>
                            <w:rPr>
                              <w:sz w:val="28"/>
                              <w:szCs w:val="28"/>
                            </w:rPr>
                          </w:pPr>
                          <w:r w:rsidRPr="00405221">
                            <w:rPr>
                              <w:rFonts w:ascii="Verdana" w:eastAsia="Verdana" w:hAnsi="Verdana"/>
                              <w:b/>
                              <w:bCs/>
                              <w:color w:val="000000"/>
                              <w:sz w:val="28"/>
                              <w:szCs w:val="28"/>
                              <w14:shadow w14:blurRad="0" w14:dist="45847" w14:dir="2021404" w14:sx="100000" w14:sy="100000" w14:kx="0" w14:ky="0" w14:algn="ctr">
                                <w14:srgbClr w14:val="C0C0C0"/>
                              </w14:shadow>
                            </w:rPr>
                            <w:t>ESTADO DE SANTA CATARINA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3" o:spid="_x0000_s1027" type="#_x0000_t202" style="position:absolute;margin-left:33.45pt;margin-top:4.45pt;width:424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" filled="f" stroked="f">
              <v:stroke joinstyle="round"/>
              <o:lock v:ext="edit" shapetype="t"/>
              <v:textbox>
                <w:txbxContent>
                  <w:p w:rsidR="00C72625" w:rsidRPr="00405221" w:rsidRDefault="00C72625" w:rsidP="00C72625">
                    <w:pPr>
                      <w:pStyle w:val="NormalWeb"/>
                      <w:spacing w:before="0" w:beforeAutospacing="0" w:after="0" w:afterAutospacing="0"/>
                      <w:jc w:val="center"/>
                      <w:rPr>
                        <w:sz w:val="28"/>
                        <w:szCs w:val="28"/>
                      </w:rPr>
                    </w:pPr>
                    <w:r w:rsidRPr="00405221">
                      <w:rPr>
                        <w:rFonts w:ascii="Verdana" w:eastAsia="Verdana" w:hAnsi="Verdana"/>
                        <w:b/>
                        <w:bCs/>
                        <w:color w:val="000000"/>
                        <w:sz w:val="28"/>
                        <w:szCs w:val="28"/>
                        <w14:shadow w14:blurRad="0" w14:dist="45847" w14:dir="2021404" w14:sx="100000" w14:sy="100000" w14:kx="0" w14:ky="0" w14:algn="ctr">
                          <w14:srgbClr w14:val="C0C0C0"/>
                        </w14:shadow>
                      </w:rPr>
                      <w:t>ESTADO DE SANTA CATARINA</w:t>
                    </w:r>
                  </w:p>
                </w:txbxContent>
              </v:textbox>
            </v:shape>
          </w:pict>
        </mc:Fallback>
      </mc:AlternateContent>
    </w:r>
  </w:p>
  <w:p w:rsidR="00C12B37" w:rsidRDefault="00C12B37" w:rsidP="00C12B37">
    <w:pPr>
      <w:pStyle w:val="Cabealho"/>
      <w:tabs>
        <w:tab w:val="clear" w:pos="4252"/>
        <w:tab w:val="clear" w:pos="8504"/>
        <w:tab w:val="left" w:pos="1530"/>
      </w:tabs>
    </w:pPr>
  </w:p>
  <w:p w:rsidR="00C12B37" w:rsidRDefault="00C12B37" w:rsidP="00C12B37">
    <w:pPr>
      <w:pStyle w:val="Cabealho"/>
      <w:tabs>
        <w:tab w:val="clear" w:pos="4252"/>
        <w:tab w:val="clear" w:pos="8504"/>
        <w:tab w:val="left" w:pos="1530"/>
      </w:tabs>
    </w:pPr>
  </w:p>
  <w:p w:rsidR="00C12B37" w:rsidRDefault="00C12B37" w:rsidP="00C12B37">
    <w:pPr>
      <w:pStyle w:val="Cabealho"/>
      <w:tabs>
        <w:tab w:val="clear" w:pos="4252"/>
        <w:tab w:val="clear" w:pos="8504"/>
        <w:tab w:val="left" w:pos="15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BD"/>
    <w:rsid w:val="00041BF2"/>
    <w:rsid w:val="0005537B"/>
    <w:rsid w:val="000923C3"/>
    <w:rsid w:val="000A183C"/>
    <w:rsid w:val="000A6EDE"/>
    <w:rsid w:val="00103552"/>
    <w:rsid w:val="00112B27"/>
    <w:rsid w:val="00113744"/>
    <w:rsid w:val="0011475D"/>
    <w:rsid w:val="00120026"/>
    <w:rsid w:val="001327DA"/>
    <w:rsid w:val="0016150E"/>
    <w:rsid w:val="001C3F64"/>
    <w:rsid w:val="002902D0"/>
    <w:rsid w:val="00291081"/>
    <w:rsid w:val="00296A63"/>
    <w:rsid w:val="002A3CF9"/>
    <w:rsid w:val="00304E86"/>
    <w:rsid w:val="0038175F"/>
    <w:rsid w:val="003A369D"/>
    <w:rsid w:val="003F5C51"/>
    <w:rsid w:val="00405221"/>
    <w:rsid w:val="0042002D"/>
    <w:rsid w:val="0045450A"/>
    <w:rsid w:val="00476D63"/>
    <w:rsid w:val="004E6CD7"/>
    <w:rsid w:val="00512A48"/>
    <w:rsid w:val="00534989"/>
    <w:rsid w:val="005373AC"/>
    <w:rsid w:val="00557142"/>
    <w:rsid w:val="005E40BD"/>
    <w:rsid w:val="005E42E4"/>
    <w:rsid w:val="005E4B3D"/>
    <w:rsid w:val="00614E5C"/>
    <w:rsid w:val="006B40F3"/>
    <w:rsid w:val="00774C19"/>
    <w:rsid w:val="007A5FAD"/>
    <w:rsid w:val="007D0863"/>
    <w:rsid w:val="007D66E3"/>
    <w:rsid w:val="00805567"/>
    <w:rsid w:val="00825987"/>
    <w:rsid w:val="008337A9"/>
    <w:rsid w:val="00833C84"/>
    <w:rsid w:val="0084075B"/>
    <w:rsid w:val="00840CFB"/>
    <w:rsid w:val="009032EC"/>
    <w:rsid w:val="00951E32"/>
    <w:rsid w:val="009E3239"/>
    <w:rsid w:val="00A77A41"/>
    <w:rsid w:val="00AF3685"/>
    <w:rsid w:val="00B24795"/>
    <w:rsid w:val="00B44A22"/>
    <w:rsid w:val="00B90EFE"/>
    <w:rsid w:val="00BD51EE"/>
    <w:rsid w:val="00C12B37"/>
    <w:rsid w:val="00C1336C"/>
    <w:rsid w:val="00C25F97"/>
    <w:rsid w:val="00C72625"/>
    <w:rsid w:val="00C72A94"/>
    <w:rsid w:val="00CA5933"/>
    <w:rsid w:val="00CB7AC4"/>
    <w:rsid w:val="00CD7920"/>
    <w:rsid w:val="00D174CB"/>
    <w:rsid w:val="00D528D1"/>
    <w:rsid w:val="00D72D7B"/>
    <w:rsid w:val="00DD5F08"/>
    <w:rsid w:val="00E07FD3"/>
    <w:rsid w:val="00E240FC"/>
    <w:rsid w:val="00E26A50"/>
    <w:rsid w:val="00EB2E1A"/>
    <w:rsid w:val="00EC5462"/>
    <w:rsid w:val="00EF09C2"/>
    <w:rsid w:val="00F25FB3"/>
    <w:rsid w:val="00F670AC"/>
    <w:rsid w:val="00F7727C"/>
    <w:rsid w:val="00F865A5"/>
    <w:rsid w:val="00FC6D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D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DC7"/>
  </w:style>
  <w:style w:type="paragraph" w:styleId="Rodap">
    <w:name w:val="footer"/>
    <w:basedOn w:val="Normal"/>
    <w:link w:val="RodapChar"/>
    <w:uiPriority w:val="99"/>
    <w:unhideWhenUsed/>
    <w:rsid w:val="00FC6DC7"/>
    <w:pPr>
      <w:tabs>
        <w:tab w:val="center" w:pos="4252"/>
        <w:tab w:val="right" w:pos="8504"/>
      </w:tabs>
      <w:spacing w:after="0" w:line="240" w:lineRule="auto"/>
    </w:pPr>
  </w:style>
  <w:style w:type="character" w:customStyle="1" w:styleId="RodapChar">
    <w:name w:val="Rodapé Char"/>
    <w:basedOn w:val="Fontepargpadro"/>
    <w:link w:val="Rodap"/>
    <w:uiPriority w:val="99"/>
    <w:rsid w:val="00FC6DC7"/>
  </w:style>
  <w:style w:type="paragraph" w:styleId="NormalWeb">
    <w:name w:val="Normal (Web)"/>
    <w:basedOn w:val="Normal"/>
    <w:uiPriority w:val="99"/>
    <w:semiHidden/>
    <w:unhideWhenUsed/>
    <w:rsid w:val="00C72625"/>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D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DC7"/>
  </w:style>
  <w:style w:type="paragraph" w:styleId="Rodap">
    <w:name w:val="footer"/>
    <w:basedOn w:val="Normal"/>
    <w:link w:val="RodapChar"/>
    <w:uiPriority w:val="99"/>
    <w:unhideWhenUsed/>
    <w:rsid w:val="00FC6DC7"/>
    <w:pPr>
      <w:tabs>
        <w:tab w:val="center" w:pos="4252"/>
        <w:tab w:val="right" w:pos="8504"/>
      </w:tabs>
      <w:spacing w:after="0" w:line="240" w:lineRule="auto"/>
    </w:pPr>
  </w:style>
  <w:style w:type="character" w:customStyle="1" w:styleId="RodapChar">
    <w:name w:val="Rodapé Char"/>
    <w:basedOn w:val="Fontepargpadro"/>
    <w:link w:val="Rodap"/>
    <w:uiPriority w:val="99"/>
    <w:rsid w:val="00FC6DC7"/>
  </w:style>
  <w:style w:type="paragraph" w:styleId="NormalWeb">
    <w:name w:val="Normal (Web)"/>
    <w:basedOn w:val="Normal"/>
    <w:uiPriority w:val="99"/>
    <w:semiHidden/>
    <w:unhideWhenUsed/>
    <w:rsid w:val="00C72625"/>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966</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 Schappo</dc:creator>
  <cp:lastModifiedBy>Cliente</cp:lastModifiedBy>
  <cp:revision>4</cp:revision>
  <cp:lastPrinted>2018-10-25T17:08:00Z</cp:lastPrinted>
  <dcterms:created xsi:type="dcterms:W3CDTF">2018-12-04T15:16:00Z</dcterms:created>
  <dcterms:modified xsi:type="dcterms:W3CDTF">2019-02-27T13:54:00Z</dcterms:modified>
</cp:coreProperties>
</file>